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BF7" w:rsidRDefault="00CE0BF7" w:rsidP="00EC055A">
      <w:pPr>
        <w:ind w:firstLineChars="200" w:firstLine="420"/>
        <w:rPr>
          <w:rFonts w:ascii="宋体" w:eastAsia="宋体" w:cs="宋体" w:hint="eastAsia"/>
          <w:kern w:val="0"/>
          <w:szCs w:val="21"/>
        </w:rPr>
      </w:pPr>
      <w:r>
        <w:rPr>
          <w:rFonts w:ascii="宋体" w:hAnsi="宋体" w:hint="eastAsia"/>
          <w:kern w:val="0"/>
          <w:szCs w:val="24"/>
        </w:rPr>
        <w:t>选择</w:t>
      </w:r>
      <w:r>
        <w:rPr>
          <w:rFonts w:ascii="宋体" w:eastAsia="宋体" w:cs="宋体" w:hint="eastAsia"/>
          <w:kern w:val="0"/>
          <w:szCs w:val="21"/>
        </w:rPr>
        <w:t>万科企业股份有限公司（</w:t>
      </w:r>
      <w:r>
        <w:rPr>
          <w:rFonts w:ascii="宋体" w:eastAsia="宋体" w:cs="宋体" w:hint="eastAsia"/>
          <w:kern w:val="0"/>
          <w:szCs w:val="21"/>
        </w:rPr>
        <w:t>简称</w:t>
      </w:r>
      <w:r w:rsidRPr="00CE0BF7">
        <w:rPr>
          <w:rFonts w:asciiTheme="minorEastAsia" w:hAnsiTheme="minorEastAsia" w:cs="TimesNewRomanPSMT"/>
          <w:kern w:val="0"/>
          <w:szCs w:val="21"/>
        </w:rPr>
        <w:t>“</w:t>
      </w:r>
      <w:r w:rsidRPr="00CE0BF7">
        <w:rPr>
          <w:rFonts w:asciiTheme="minorEastAsia" w:hAnsiTheme="minorEastAsia" w:cs="宋体" w:hint="eastAsia"/>
          <w:kern w:val="0"/>
          <w:szCs w:val="21"/>
        </w:rPr>
        <w:t>万科</w:t>
      </w:r>
      <w:r w:rsidRPr="00CE0BF7">
        <w:rPr>
          <w:rFonts w:asciiTheme="minorEastAsia" w:hAnsiTheme="minorEastAsia" w:cs="TimesNewRomanPSMT"/>
          <w:kern w:val="0"/>
          <w:szCs w:val="21"/>
        </w:rPr>
        <w:t>”</w:t>
      </w:r>
      <w:r>
        <w:rPr>
          <w:rFonts w:asciiTheme="minorEastAsia" w:hAnsiTheme="minorEastAsia" w:cs="TimesNewRomanPSMT" w:hint="eastAsia"/>
          <w:kern w:val="0"/>
          <w:szCs w:val="21"/>
        </w:rPr>
        <w:t>，股票代码：000002</w:t>
      </w:r>
      <w:r>
        <w:rPr>
          <w:rFonts w:ascii="宋体" w:eastAsia="宋体" w:cs="宋体" w:hint="eastAsia"/>
          <w:kern w:val="0"/>
          <w:szCs w:val="21"/>
        </w:rPr>
        <w:t>）</w:t>
      </w:r>
      <w:r>
        <w:rPr>
          <w:rFonts w:ascii="宋体" w:eastAsia="宋体" w:cs="宋体" w:hint="eastAsia"/>
          <w:kern w:val="0"/>
          <w:szCs w:val="21"/>
        </w:rPr>
        <w:t>2014年的年度报告进行分析。</w:t>
      </w:r>
    </w:p>
    <w:p w:rsidR="00EC055A" w:rsidRDefault="00EC055A" w:rsidP="00CE0BF7">
      <w:pPr>
        <w:pStyle w:val="3"/>
        <w:spacing w:before="0" w:after="0" w:line="240" w:lineRule="auto"/>
        <w:ind w:firstLineChars="200" w:firstLine="422"/>
        <w:rPr>
          <w:rFonts w:ascii="宋体" w:eastAsia="宋体" w:hAnsi="宋体" w:cs="Times New Roman" w:hint="eastAsia"/>
          <w:sz w:val="21"/>
          <w:szCs w:val="21"/>
        </w:rPr>
      </w:pPr>
      <w:bookmarkStart w:id="0" w:name="_GoBack"/>
      <w:bookmarkEnd w:id="0"/>
      <w:r w:rsidRPr="00CE0BF7">
        <w:rPr>
          <w:rFonts w:ascii="宋体" w:eastAsia="宋体" w:hAnsi="宋体" w:cs="Times New Roman" w:hint="eastAsia"/>
          <w:sz w:val="21"/>
          <w:szCs w:val="21"/>
        </w:rPr>
        <w:t>1.公司财务报告由哪些部分组成；</w:t>
      </w:r>
    </w:p>
    <w:p w:rsidR="00CE0BF7" w:rsidRPr="00CE0BF7" w:rsidRDefault="00CE0BF7" w:rsidP="00CE0BF7">
      <w:pPr>
        <w:ind w:firstLineChars="200" w:firstLine="420"/>
      </w:pPr>
      <w:r>
        <w:rPr>
          <w:rFonts w:hint="eastAsia"/>
        </w:rPr>
        <w:t>万科公司的财务</w:t>
      </w:r>
      <w:r>
        <w:rPr>
          <w:rFonts w:hint="eastAsia"/>
        </w:rPr>
        <w:t>报告主要包括：</w:t>
      </w:r>
      <w:r>
        <w:rPr>
          <w:rFonts w:hint="eastAsia"/>
        </w:rPr>
        <w:t>审计报告、资产负债表、利润表、现金流量表、股东权益变动表及财务报表附注等。</w:t>
      </w:r>
      <w:r w:rsidRPr="00CE0BF7">
        <w:t xml:space="preserve"> </w:t>
      </w:r>
    </w:p>
    <w:p w:rsidR="00EC055A" w:rsidRDefault="00EC055A" w:rsidP="00CE0BF7">
      <w:pPr>
        <w:pStyle w:val="3"/>
        <w:spacing w:before="0" w:after="0" w:line="240" w:lineRule="auto"/>
        <w:ind w:firstLineChars="200" w:firstLine="422"/>
        <w:rPr>
          <w:rFonts w:ascii="宋体" w:eastAsia="宋体" w:hAnsi="宋体" w:cs="Times New Roman" w:hint="eastAsia"/>
          <w:sz w:val="21"/>
          <w:szCs w:val="21"/>
        </w:rPr>
      </w:pPr>
      <w:r w:rsidRPr="00CE0BF7">
        <w:rPr>
          <w:rFonts w:ascii="宋体" w:eastAsia="宋体" w:hAnsi="宋体" w:cs="Times New Roman" w:hint="eastAsia"/>
          <w:sz w:val="21"/>
          <w:szCs w:val="21"/>
        </w:rPr>
        <w:t>2.对公司的行业及宏观经济环境进行分析；</w:t>
      </w:r>
    </w:p>
    <w:p w:rsidR="00CE0BF7" w:rsidRDefault="00CE0BF7" w:rsidP="00CE0BF7">
      <w:pPr>
        <w:rPr>
          <w:rFonts w:hint="eastAsia"/>
        </w:rPr>
      </w:pPr>
      <w:r>
        <w:rPr>
          <w:rFonts w:hint="eastAsia"/>
        </w:rPr>
        <w:t>（</w:t>
      </w:r>
      <w:r>
        <w:rPr>
          <w:rFonts w:hint="eastAsia"/>
        </w:rPr>
        <w:t>1</w:t>
      </w:r>
      <w:r>
        <w:rPr>
          <w:rFonts w:hint="eastAsia"/>
        </w:rPr>
        <w:t>）宏观环境分析</w:t>
      </w:r>
    </w:p>
    <w:p w:rsidR="00CE0BF7" w:rsidRDefault="00CE0BF7" w:rsidP="00CE0BF7">
      <w:pPr>
        <w:ind w:firstLine="420"/>
        <w:rPr>
          <w:rFonts w:hint="eastAsia"/>
        </w:rPr>
      </w:pPr>
      <w:r>
        <w:rPr>
          <w:rFonts w:hint="eastAsia"/>
        </w:rPr>
        <w:t>从万科所处的宏观环境可以看出，房地产行业在我国的发展具有很强的优势。万科的宏观环境分析如表</w:t>
      </w:r>
      <w:r>
        <w:rPr>
          <w:rFonts w:hint="eastAsia"/>
        </w:rPr>
        <w:t>11-1</w:t>
      </w:r>
      <w:r>
        <w:rPr>
          <w:rFonts w:hint="eastAsia"/>
        </w:rPr>
        <w:t>所示。</w:t>
      </w:r>
    </w:p>
    <w:p w:rsidR="00CE0BF7" w:rsidRDefault="00CE0BF7" w:rsidP="00CE0BF7">
      <w:pPr>
        <w:ind w:firstLine="420"/>
        <w:jc w:val="center"/>
        <w:rPr>
          <w:rFonts w:hint="eastAsia"/>
        </w:rPr>
      </w:pPr>
      <w:r>
        <w:rPr>
          <w:rFonts w:hint="eastAsia"/>
        </w:rPr>
        <w:t>表</w:t>
      </w:r>
      <w:r>
        <w:rPr>
          <w:rFonts w:hint="eastAsia"/>
        </w:rPr>
        <w:t xml:space="preserve">11-1 </w:t>
      </w:r>
      <w:r>
        <w:rPr>
          <w:rFonts w:hint="eastAsia"/>
        </w:rPr>
        <w:t>万科宏观环境分析表</w:t>
      </w:r>
    </w:p>
    <w:tbl>
      <w:tblPr>
        <w:tblW w:w="928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67"/>
        <w:gridCol w:w="3175"/>
        <w:gridCol w:w="1559"/>
        <w:gridCol w:w="1985"/>
      </w:tblGrid>
      <w:tr w:rsidR="00CE0BF7" w:rsidRPr="00CE0BF7" w:rsidTr="00CE0BF7">
        <w:trPr>
          <w:trHeight w:val="270"/>
        </w:trPr>
        <w:tc>
          <w:tcPr>
            <w:tcW w:w="2567"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P</w:t>
            </w:r>
          </w:p>
        </w:tc>
        <w:tc>
          <w:tcPr>
            <w:tcW w:w="3175"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E</w:t>
            </w:r>
          </w:p>
        </w:tc>
        <w:tc>
          <w:tcPr>
            <w:tcW w:w="1559"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S</w:t>
            </w:r>
          </w:p>
        </w:tc>
        <w:tc>
          <w:tcPr>
            <w:tcW w:w="1985"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T</w:t>
            </w:r>
          </w:p>
        </w:tc>
      </w:tr>
      <w:tr w:rsidR="00CE0BF7" w:rsidRPr="00CE0BF7" w:rsidTr="00CE0BF7">
        <w:trPr>
          <w:trHeight w:val="2041"/>
        </w:trPr>
        <w:tc>
          <w:tcPr>
            <w:tcW w:w="2567"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近几年，我国对房地产行业采取了一系列的宏观调控措施，如专项整治房地产市场秩序，治理“捂盘惜售”；加强国有建设用地管理；促进节约集约土地，合理安排住宅用地等。</w:t>
            </w:r>
          </w:p>
        </w:tc>
        <w:tc>
          <w:tcPr>
            <w:tcW w:w="3175"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我国将房地产行业的外资投资行为列入“限制”行列，限制外商投资及热钱涌入；从紧的金融手段，银行存款准备金率连续提升，对于房产市场的资金来源起到明显的抑制，同时加强商业性房地产信贷管理也一定程度上抑制了房地产需求。</w:t>
            </w:r>
          </w:p>
        </w:tc>
        <w:tc>
          <w:tcPr>
            <w:tcW w:w="1559"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城市化与房地产业存在内在联系，人们的消费观念也会影响房地产行业的发展。</w:t>
            </w:r>
          </w:p>
        </w:tc>
        <w:tc>
          <w:tcPr>
            <w:tcW w:w="1985"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信息技术将改造传统的房地产产业，推动产业的现代化进程，以环保、节能为主体的绿色生态住宅正在兴起。</w:t>
            </w:r>
          </w:p>
        </w:tc>
      </w:tr>
    </w:tbl>
    <w:p w:rsidR="00CE0BF7" w:rsidRDefault="00CE0BF7" w:rsidP="00CE0BF7">
      <w:pPr>
        <w:rPr>
          <w:rFonts w:hint="eastAsia"/>
        </w:rPr>
      </w:pPr>
      <w:r>
        <w:rPr>
          <w:rFonts w:hint="eastAsia"/>
        </w:rPr>
        <w:t>（</w:t>
      </w:r>
      <w:r>
        <w:rPr>
          <w:rFonts w:hint="eastAsia"/>
        </w:rPr>
        <w:t>2</w:t>
      </w:r>
      <w:r>
        <w:rPr>
          <w:rFonts w:hint="eastAsia"/>
        </w:rPr>
        <w:t>）行业环境分析</w:t>
      </w:r>
    </w:p>
    <w:p w:rsidR="00CE0BF7" w:rsidRDefault="00CE0BF7" w:rsidP="00CE0BF7">
      <w:pPr>
        <w:ind w:firstLine="420"/>
        <w:rPr>
          <w:rFonts w:hint="eastAsia"/>
        </w:rPr>
      </w:pPr>
      <w:r>
        <w:rPr>
          <w:rFonts w:hint="eastAsia"/>
        </w:rPr>
        <w:t>从万科所处的行业环境可以看出，虽然购买者的讨价还价能力提升，但是，万科在行业中的竞争优势仍然很强。万科</w:t>
      </w:r>
      <w:proofErr w:type="gramStart"/>
      <w:r>
        <w:rPr>
          <w:rFonts w:hint="eastAsia"/>
        </w:rPr>
        <w:t>的五力模型分析</w:t>
      </w:r>
      <w:proofErr w:type="gramEnd"/>
      <w:r>
        <w:rPr>
          <w:rFonts w:hint="eastAsia"/>
        </w:rPr>
        <w:t>如表</w:t>
      </w:r>
      <w:r>
        <w:rPr>
          <w:rFonts w:hint="eastAsia"/>
        </w:rPr>
        <w:t>11-2</w:t>
      </w:r>
      <w:r>
        <w:rPr>
          <w:rFonts w:hint="eastAsia"/>
        </w:rPr>
        <w:t>所示。</w:t>
      </w:r>
    </w:p>
    <w:p w:rsidR="00CE0BF7" w:rsidRDefault="00CE0BF7" w:rsidP="00CE0BF7">
      <w:pPr>
        <w:ind w:firstLine="420"/>
        <w:jc w:val="center"/>
        <w:rPr>
          <w:rFonts w:hint="eastAsia"/>
        </w:rPr>
      </w:pPr>
      <w:r>
        <w:rPr>
          <w:rFonts w:hint="eastAsia"/>
        </w:rPr>
        <w:t>表</w:t>
      </w:r>
      <w:r>
        <w:rPr>
          <w:rFonts w:hint="eastAsia"/>
        </w:rPr>
        <w:t xml:space="preserve">11-2 </w:t>
      </w:r>
      <w:proofErr w:type="gramStart"/>
      <w:r>
        <w:rPr>
          <w:rFonts w:hint="eastAsia"/>
        </w:rPr>
        <w:t>万科波特五力模型分析</w:t>
      </w:r>
      <w:proofErr w:type="gramEnd"/>
      <w:r>
        <w:rPr>
          <w:rFonts w:hint="eastAsia"/>
        </w:rPr>
        <w:t>表</w:t>
      </w:r>
    </w:p>
    <w:tbl>
      <w:tblPr>
        <w:tblW w:w="8472"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196"/>
        <w:gridCol w:w="6276"/>
      </w:tblGrid>
      <w:tr w:rsidR="00CE0BF7" w:rsidRPr="00CE0BF7" w:rsidTr="00CE0BF7">
        <w:trPr>
          <w:trHeight w:val="20"/>
        </w:trPr>
        <w:tc>
          <w:tcPr>
            <w:tcW w:w="2196" w:type="dxa"/>
            <w:shd w:val="clear" w:color="auto" w:fill="auto"/>
            <w:noWrap/>
            <w:vAlign w:val="center"/>
            <w:hideMark/>
          </w:tcPr>
          <w:p w:rsidR="00CE0BF7" w:rsidRPr="00CE0BF7" w:rsidRDefault="00CE0BF7" w:rsidP="000818F4">
            <w:pPr>
              <w:widowControl/>
              <w:jc w:val="left"/>
              <w:rPr>
                <w:rFonts w:ascii="楷体" w:eastAsia="楷体" w:hAnsi="楷体" w:cs="宋体"/>
                <w:color w:val="000000"/>
                <w:kern w:val="0"/>
                <w:sz w:val="18"/>
                <w:szCs w:val="18"/>
              </w:rPr>
            </w:pPr>
            <w:proofErr w:type="gramStart"/>
            <w:r w:rsidRPr="00CE0BF7">
              <w:rPr>
                <w:rFonts w:ascii="楷体" w:eastAsia="楷体" w:hAnsi="楷体" w:cs="宋体" w:hint="eastAsia"/>
                <w:color w:val="000000"/>
                <w:kern w:val="0"/>
                <w:sz w:val="18"/>
                <w:szCs w:val="18"/>
              </w:rPr>
              <w:t>波特五力</w:t>
            </w:r>
            <w:proofErr w:type="gramEnd"/>
            <w:r w:rsidRPr="00CE0BF7">
              <w:rPr>
                <w:rFonts w:ascii="楷体" w:eastAsia="楷体" w:hAnsi="楷体" w:cs="宋体" w:hint="eastAsia"/>
                <w:color w:val="000000"/>
                <w:kern w:val="0"/>
                <w:sz w:val="18"/>
                <w:szCs w:val="18"/>
              </w:rPr>
              <w:t>模型</w:t>
            </w:r>
          </w:p>
        </w:tc>
        <w:tc>
          <w:tcPr>
            <w:tcW w:w="6276"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市场表现</w:t>
            </w:r>
          </w:p>
        </w:tc>
      </w:tr>
      <w:tr w:rsidR="00CE0BF7" w:rsidRPr="00CE0BF7" w:rsidTr="00CE0BF7">
        <w:trPr>
          <w:trHeight w:val="20"/>
        </w:trPr>
        <w:tc>
          <w:tcPr>
            <w:tcW w:w="2196" w:type="dxa"/>
            <w:shd w:val="clear" w:color="auto" w:fill="auto"/>
            <w:noWrap/>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行业内竞争者分析</w:t>
            </w:r>
          </w:p>
        </w:tc>
        <w:tc>
          <w:tcPr>
            <w:tcW w:w="6276"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（1）房地产市场存在着多个巨头（2）行业增长速度（3）高额固定成本（4）高的推出成本</w:t>
            </w:r>
          </w:p>
        </w:tc>
      </w:tr>
      <w:tr w:rsidR="00CE0BF7" w:rsidRPr="00CE0BF7" w:rsidTr="00CE0BF7">
        <w:trPr>
          <w:trHeight w:val="20"/>
        </w:trPr>
        <w:tc>
          <w:tcPr>
            <w:tcW w:w="2196" w:type="dxa"/>
            <w:shd w:val="clear" w:color="auto" w:fill="auto"/>
            <w:noWrap/>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潜在竞争者分析</w:t>
            </w:r>
          </w:p>
        </w:tc>
        <w:tc>
          <w:tcPr>
            <w:tcW w:w="6276"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（1）海外竞争加剧（2）产品差异化（3）资本要求（4）政府政策</w:t>
            </w:r>
          </w:p>
        </w:tc>
      </w:tr>
      <w:tr w:rsidR="00CE0BF7" w:rsidRPr="00CE0BF7" w:rsidTr="00CE0BF7">
        <w:trPr>
          <w:trHeight w:val="20"/>
        </w:trPr>
        <w:tc>
          <w:tcPr>
            <w:tcW w:w="2196" w:type="dxa"/>
            <w:shd w:val="clear" w:color="auto" w:fill="auto"/>
            <w:noWrap/>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替代品的威胁</w:t>
            </w:r>
          </w:p>
        </w:tc>
        <w:tc>
          <w:tcPr>
            <w:tcW w:w="6276"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（1）二手房市场的活跃（2）租房意识的兴起（3）消费观念的转变</w:t>
            </w:r>
          </w:p>
        </w:tc>
      </w:tr>
      <w:tr w:rsidR="00CE0BF7" w:rsidRPr="00CE0BF7" w:rsidTr="00CE0BF7">
        <w:trPr>
          <w:trHeight w:val="20"/>
        </w:trPr>
        <w:tc>
          <w:tcPr>
            <w:tcW w:w="2196" w:type="dxa"/>
            <w:shd w:val="clear" w:color="auto" w:fill="auto"/>
            <w:noWrap/>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供应商的讨价还价能力</w:t>
            </w:r>
          </w:p>
        </w:tc>
        <w:tc>
          <w:tcPr>
            <w:tcW w:w="6276"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（1）在土地议价方面空间小（2）对开发类供应商，其讨价能力较强（3）在建材供应方面，其讨价能力较强</w:t>
            </w:r>
          </w:p>
        </w:tc>
      </w:tr>
      <w:tr w:rsidR="00CE0BF7" w:rsidRPr="00CE0BF7" w:rsidTr="00CE0BF7">
        <w:trPr>
          <w:trHeight w:val="20"/>
        </w:trPr>
        <w:tc>
          <w:tcPr>
            <w:tcW w:w="2196" w:type="dxa"/>
            <w:shd w:val="clear" w:color="auto" w:fill="auto"/>
            <w:noWrap/>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购买者的讨价还价能力</w:t>
            </w:r>
          </w:p>
        </w:tc>
        <w:tc>
          <w:tcPr>
            <w:tcW w:w="6276" w:type="dxa"/>
            <w:shd w:val="clear" w:color="auto" w:fill="auto"/>
            <w:vAlign w:val="center"/>
            <w:hideMark/>
          </w:tcPr>
          <w:p w:rsidR="00CE0BF7" w:rsidRPr="00CE0BF7" w:rsidRDefault="00CE0BF7" w:rsidP="000818F4">
            <w:pPr>
              <w:widowControl/>
              <w:jc w:val="left"/>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购买者对于住房多方面要求均有所提高，购买者的讨价还价能力较强</w:t>
            </w:r>
          </w:p>
        </w:tc>
      </w:tr>
    </w:tbl>
    <w:p w:rsidR="00EC055A" w:rsidRDefault="00EC055A" w:rsidP="00CE0BF7">
      <w:pPr>
        <w:pStyle w:val="3"/>
        <w:spacing w:before="0" w:after="0" w:line="240" w:lineRule="auto"/>
        <w:ind w:firstLineChars="200" w:firstLine="422"/>
        <w:rPr>
          <w:rFonts w:ascii="宋体" w:eastAsia="宋体" w:hAnsi="宋体" w:cs="Times New Roman" w:hint="eastAsia"/>
          <w:sz w:val="21"/>
          <w:szCs w:val="21"/>
        </w:rPr>
      </w:pPr>
      <w:r w:rsidRPr="00CE0BF7">
        <w:rPr>
          <w:rFonts w:ascii="宋体" w:eastAsia="宋体" w:hAnsi="宋体" w:cs="Times New Roman" w:hint="eastAsia"/>
          <w:sz w:val="21"/>
          <w:szCs w:val="21"/>
        </w:rPr>
        <w:t>3.</w:t>
      </w:r>
      <w:r w:rsidR="00CE0BF7">
        <w:rPr>
          <w:rFonts w:ascii="宋体" w:eastAsia="宋体" w:hAnsi="宋体" w:cs="Times New Roman" w:hint="eastAsia"/>
          <w:sz w:val="21"/>
          <w:szCs w:val="21"/>
        </w:rPr>
        <w:t>对公司的资产负债表项目进行</w:t>
      </w:r>
    </w:p>
    <w:p w:rsidR="00CE0BF7" w:rsidRDefault="00CE0BF7" w:rsidP="00CE0BF7">
      <w:pPr>
        <w:ind w:firstLineChars="200" w:firstLine="420"/>
        <w:rPr>
          <w:rFonts w:hint="eastAsia"/>
        </w:rPr>
      </w:pPr>
      <w:r>
        <w:rPr>
          <w:rFonts w:hint="eastAsia"/>
        </w:rPr>
        <w:t>主要</w:t>
      </w:r>
      <w:r>
        <w:rPr>
          <w:rFonts w:hint="eastAsia"/>
        </w:rPr>
        <w:t>对货币资金、应收账款、存货、固定资产、</w:t>
      </w:r>
      <w:r>
        <w:rPr>
          <w:rFonts w:hint="eastAsia"/>
        </w:rPr>
        <w:t>应付账款、所有者权益</w:t>
      </w:r>
      <w:r>
        <w:rPr>
          <w:rFonts w:hint="eastAsia"/>
        </w:rPr>
        <w:t>进行简单分析。万科公司</w:t>
      </w:r>
      <w:r>
        <w:rPr>
          <w:rFonts w:hint="eastAsia"/>
        </w:rPr>
        <w:t>2013-2014</w:t>
      </w:r>
      <w:r>
        <w:rPr>
          <w:rFonts w:hint="eastAsia"/>
        </w:rPr>
        <w:t>年资产负债表主要项目</w:t>
      </w:r>
      <w:r>
        <w:rPr>
          <w:rFonts w:hint="eastAsia"/>
        </w:rPr>
        <w:t>情况如表</w:t>
      </w:r>
      <w:r>
        <w:rPr>
          <w:rFonts w:hint="eastAsia"/>
        </w:rPr>
        <w:t>11-3</w:t>
      </w:r>
      <w:r>
        <w:rPr>
          <w:rFonts w:hint="eastAsia"/>
        </w:rPr>
        <w:t>所示。</w:t>
      </w:r>
    </w:p>
    <w:p w:rsidR="00CE0BF7" w:rsidRPr="00CE0BF7" w:rsidRDefault="00CE0BF7" w:rsidP="00CE0BF7">
      <w:pPr>
        <w:ind w:firstLineChars="200" w:firstLine="420"/>
        <w:jc w:val="center"/>
        <w:rPr>
          <w:rFonts w:hint="eastAsia"/>
        </w:rPr>
      </w:pPr>
      <w:r>
        <w:rPr>
          <w:rFonts w:hint="eastAsia"/>
        </w:rPr>
        <w:t>表</w:t>
      </w:r>
      <w:r>
        <w:rPr>
          <w:rFonts w:hint="eastAsia"/>
        </w:rPr>
        <w:t xml:space="preserve">11-3 </w:t>
      </w:r>
      <w:r>
        <w:rPr>
          <w:rFonts w:hint="eastAsia"/>
        </w:rPr>
        <w:t>万科</w:t>
      </w:r>
      <w:r>
        <w:rPr>
          <w:rFonts w:hint="eastAsia"/>
        </w:rPr>
        <w:t>2013-2014</w:t>
      </w:r>
      <w:r>
        <w:rPr>
          <w:rFonts w:hint="eastAsia"/>
        </w:rPr>
        <w:t>年资产负债表主要项目情况表</w:t>
      </w:r>
    </w:p>
    <w:tbl>
      <w:tblPr>
        <w:tblW w:w="896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570"/>
        <w:gridCol w:w="2016"/>
        <w:gridCol w:w="2016"/>
        <w:gridCol w:w="1206"/>
        <w:gridCol w:w="1080"/>
        <w:gridCol w:w="1080"/>
      </w:tblGrid>
      <w:tr w:rsidR="00CE0BF7" w:rsidRPr="00CE0BF7" w:rsidTr="00CE0BF7">
        <w:trPr>
          <w:trHeight w:val="270"/>
        </w:trPr>
        <w:tc>
          <w:tcPr>
            <w:tcW w:w="1570" w:type="dxa"/>
            <w:vMerge w:val="restart"/>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项目</w:t>
            </w:r>
          </w:p>
        </w:tc>
        <w:tc>
          <w:tcPr>
            <w:tcW w:w="2016" w:type="dxa"/>
            <w:vMerge w:val="restart"/>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2014年12月31日</w:t>
            </w:r>
          </w:p>
        </w:tc>
        <w:tc>
          <w:tcPr>
            <w:tcW w:w="2016" w:type="dxa"/>
            <w:vMerge w:val="restart"/>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2013年12月31日</w:t>
            </w:r>
          </w:p>
        </w:tc>
        <w:tc>
          <w:tcPr>
            <w:tcW w:w="1206" w:type="dxa"/>
            <w:vMerge w:val="restart"/>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增（减）</w:t>
            </w:r>
          </w:p>
        </w:tc>
        <w:tc>
          <w:tcPr>
            <w:tcW w:w="2160" w:type="dxa"/>
            <w:gridSpan w:val="2"/>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结构</w:t>
            </w:r>
          </w:p>
        </w:tc>
      </w:tr>
      <w:tr w:rsidR="00CE0BF7" w:rsidRPr="00CE0BF7" w:rsidTr="00CE0BF7">
        <w:trPr>
          <w:trHeight w:val="270"/>
        </w:trPr>
        <w:tc>
          <w:tcPr>
            <w:tcW w:w="1570" w:type="dxa"/>
            <w:vMerge/>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p>
        </w:tc>
        <w:tc>
          <w:tcPr>
            <w:tcW w:w="2016" w:type="dxa"/>
            <w:vMerge/>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p>
        </w:tc>
        <w:tc>
          <w:tcPr>
            <w:tcW w:w="2016" w:type="dxa"/>
            <w:vMerge/>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p>
        </w:tc>
        <w:tc>
          <w:tcPr>
            <w:tcW w:w="1206" w:type="dxa"/>
            <w:vMerge/>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2014</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b/>
                <w:color w:val="000000"/>
                <w:kern w:val="0"/>
                <w:sz w:val="18"/>
                <w:szCs w:val="18"/>
              </w:rPr>
            </w:pPr>
            <w:r w:rsidRPr="00CE0BF7">
              <w:rPr>
                <w:rFonts w:ascii="楷体" w:eastAsia="楷体" w:hAnsi="楷体" w:cs="Times New Roman"/>
                <w:b/>
                <w:color w:val="000000"/>
                <w:kern w:val="0"/>
                <w:sz w:val="18"/>
                <w:szCs w:val="18"/>
              </w:rPr>
              <w:t>2013</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货币资金</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62,715,253,375.94</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44,365,409,795.23</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41.36%</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12.34%</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9.26%</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应收账款</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1,894,071,801.08</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3,078,969,781.37</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-38.48%</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0.37%</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0.64%</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存货</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317,726,378,468.22</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331,133,223,278.99</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-4.05%</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62.49%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69.10%</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固定资产</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2,308,351,663.13</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2,129,767,863.36</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8.39%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0.45%</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0.44%</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资产总额</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508,408,755,415.65</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479,205,323,490.54</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6.09%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100.00%</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100.00%</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应付账款</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67,047,199,764.55</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63,958,459,138.78</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4.83%</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13.19%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13.35%</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负债总额</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392,515,138,495.68</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373,765,900,091.91</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5.02%</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77.20%</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78.00%</w:t>
            </w:r>
          </w:p>
        </w:tc>
      </w:tr>
      <w:tr w:rsidR="00CE0BF7" w:rsidRPr="00CE0BF7" w:rsidTr="00CE0BF7">
        <w:trPr>
          <w:trHeight w:val="270"/>
        </w:trPr>
        <w:tc>
          <w:tcPr>
            <w:tcW w:w="157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lastRenderedPageBreak/>
              <w:t>所有者权益总额</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115,893,616,919.97</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105,439,423,398.63</w:t>
            </w:r>
          </w:p>
        </w:tc>
        <w:tc>
          <w:tcPr>
            <w:tcW w:w="1206"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9.91%</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22.80%</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Times New Roman"/>
                <w:color w:val="000000"/>
                <w:kern w:val="0"/>
                <w:sz w:val="18"/>
                <w:szCs w:val="18"/>
              </w:rPr>
            </w:pPr>
            <w:r w:rsidRPr="00CE0BF7">
              <w:rPr>
                <w:rFonts w:ascii="楷体" w:eastAsia="楷体" w:hAnsi="楷体" w:cs="Times New Roman"/>
                <w:color w:val="000000"/>
                <w:kern w:val="0"/>
                <w:sz w:val="18"/>
                <w:szCs w:val="18"/>
              </w:rPr>
              <w:t>22.00%</w:t>
            </w:r>
          </w:p>
        </w:tc>
      </w:tr>
    </w:tbl>
    <w:p w:rsidR="00CE0BF7" w:rsidRDefault="00CE0BF7" w:rsidP="00CE0BF7">
      <w:pPr>
        <w:ind w:firstLineChars="200" w:firstLine="420"/>
      </w:pPr>
    </w:p>
    <w:p w:rsidR="00CE0BF7" w:rsidRPr="00037450" w:rsidRDefault="00CE0BF7" w:rsidP="00CE0BF7">
      <w:r>
        <w:rPr>
          <w:rFonts w:hint="eastAsia"/>
        </w:rPr>
        <w:t>（</w:t>
      </w:r>
      <w:r>
        <w:rPr>
          <w:rFonts w:hint="eastAsia"/>
        </w:rPr>
        <w:t>1</w:t>
      </w:r>
      <w:r>
        <w:rPr>
          <w:rFonts w:hint="eastAsia"/>
        </w:rPr>
        <w:t>）</w:t>
      </w:r>
      <w:r w:rsidRPr="00037450">
        <w:rPr>
          <w:rFonts w:hint="eastAsia"/>
        </w:rPr>
        <w:t>货币资金</w:t>
      </w:r>
      <w:r>
        <w:rPr>
          <w:rFonts w:hint="eastAsia"/>
        </w:rPr>
        <w:t>项目</w:t>
      </w:r>
      <w:r w:rsidRPr="00037450">
        <w:rPr>
          <w:rFonts w:hint="eastAsia"/>
        </w:rPr>
        <w:t>分析</w:t>
      </w:r>
    </w:p>
    <w:p w:rsidR="00CE0BF7" w:rsidRPr="00037450" w:rsidRDefault="00CE0BF7" w:rsidP="00CE0BF7">
      <w:pPr>
        <w:ind w:firstLineChars="200" w:firstLine="420"/>
      </w:pPr>
      <w:r w:rsidRPr="00037450">
        <w:rPr>
          <w:rFonts w:hint="eastAsia"/>
        </w:rPr>
        <w:t>从总体规模来看，公司货币资金同比增长了</w:t>
      </w:r>
      <w:r>
        <w:rPr>
          <w:rFonts w:hint="eastAsia"/>
        </w:rPr>
        <w:t>41.36</w:t>
      </w:r>
      <w:r w:rsidRPr="00037450">
        <w:rPr>
          <w:rFonts w:hint="eastAsia"/>
        </w:rPr>
        <w:t>%</w:t>
      </w:r>
      <w:r w:rsidRPr="00037450">
        <w:rPr>
          <w:rFonts w:hint="eastAsia"/>
        </w:rPr>
        <w:t>，大于资产的增幅，使其占资产总额的比重也由年初的</w:t>
      </w:r>
      <w:r>
        <w:rPr>
          <w:rFonts w:hint="eastAsia"/>
        </w:rPr>
        <w:t>9.26</w:t>
      </w:r>
      <w:r w:rsidRPr="00037450">
        <w:rPr>
          <w:rFonts w:hint="eastAsia"/>
        </w:rPr>
        <w:t>%</w:t>
      </w:r>
      <w:r w:rsidRPr="00037450">
        <w:rPr>
          <w:rFonts w:hint="eastAsia"/>
        </w:rPr>
        <w:t>上升为</w:t>
      </w:r>
      <w:r>
        <w:rPr>
          <w:rFonts w:hint="eastAsia"/>
        </w:rPr>
        <w:t>12.34</w:t>
      </w:r>
      <w:r w:rsidRPr="00037450">
        <w:rPr>
          <w:rFonts w:hint="eastAsia"/>
        </w:rPr>
        <w:t>%</w:t>
      </w:r>
      <w:r w:rsidRPr="00037450">
        <w:rPr>
          <w:rFonts w:hint="eastAsia"/>
        </w:rPr>
        <w:t>。</w:t>
      </w:r>
      <w:r>
        <w:rPr>
          <w:rFonts w:hint="eastAsia"/>
        </w:rPr>
        <w:t>在流动资产项目中，</w:t>
      </w:r>
      <w:r>
        <w:rPr>
          <w:rFonts w:hint="eastAsia"/>
        </w:rPr>
        <w:t>2014</w:t>
      </w:r>
      <w:r>
        <w:rPr>
          <w:rFonts w:hint="eastAsia"/>
        </w:rPr>
        <w:t>年只有货币资金增加，其他项目均下降了。</w:t>
      </w:r>
    </w:p>
    <w:p w:rsidR="00CE0BF7" w:rsidRPr="00037450" w:rsidRDefault="00CE0BF7" w:rsidP="00CE0BF7">
      <w:r>
        <w:rPr>
          <w:rFonts w:hint="eastAsia"/>
        </w:rPr>
        <w:t>（</w:t>
      </w:r>
      <w:r>
        <w:rPr>
          <w:rFonts w:hint="eastAsia"/>
        </w:rPr>
        <w:t>2</w:t>
      </w:r>
      <w:r>
        <w:rPr>
          <w:rFonts w:hint="eastAsia"/>
        </w:rPr>
        <w:t>）</w:t>
      </w:r>
      <w:r w:rsidRPr="00037450">
        <w:rPr>
          <w:rFonts w:hint="eastAsia"/>
        </w:rPr>
        <w:t>应收</w:t>
      </w:r>
      <w:r>
        <w:rPr>
          <w:rFonts w:hint="eastAsia"/>
        </w:rPr>
        <w:t>账款项目</w:t>
      </w:r>
      <w:r w:rsidRPr="00037450">
        <w:rPr>
          <w:rFonts w:hint="eastAsia"/>
        </w:rPr>
        <w:t>分析</w:t>
      </w:r>
    </w:p>
    <w:p w:rsidR="00CE0BF7" w:rsidRPr="00037450" w:rsidRDefault="00CE0BF7" w:rsidP="00CE0BF7">
      <w:pPr>
        <w:ind w:firstLineChars="200" w:firstLine="420"/>
      </w:pPr>
      <w:r>
        <w:rPr>
          <w:rFonts w:hint="eastAsia"/>
        </w:rPr>
        <w:t>公司应收账款下降幅度较大，下降了</w:t>
      </w:r>
      <w:r>
        <w:rPr>
          <w:rFonts w:hint="eastAsia"/>
        </w:rPr>
        <w:t>38.48%</w:t>
      </w:r>
      <w:r>
        <w:rPr>
          <w:rFonts w:hint="eastAsia"/>
        </w:rPr>
        <w:t>，其占资产的比例也由</w:t>
      </w:r>
      <w:r>
        <w:rPr>
          <w:rFonts w:hint="eastAsia"/>
        </w:rPr>
        <w:t>0.64%</w:t>
      </w:r>
      <w:r>
        <w:rPr>
          <w:rFonts w:hint="eastAsia"/>
        </w:rPr>
        <w:t>下降到</w:t>
      </w:r>
      <w:r>
        <w:rPr>
          <w:rFonts w:hint="eastAsia"/>
        </w:rPr>
        <w:t>0.34%</w:t>
      </w:r>
      <w:r>
        <w:rPr>
          <w:rFonts w:hint="eastAsia"/>
        </w:rPr>
        <w:t>，占资产的比例较小。应收账款的下降对资产总额的影响较小。</w:t>
      </w:r>
    </w:p>
    <w:p w:rsidR="00CE0BF7" w:rsidRPr="00037450" w:rsidRDefault="00CE0BF7" w:rsidP="00CE0BF7">
      <w:r>
        <w:rPr>
          <w:rFonts w:hint="eastAsia"/>
        </w:rPr>
        <w:t>（</w:t>
      </w:r>
      <w:r>
        <w:rPr>
          <w:rFonts w:hint="eastAsia"/>
        </w:rPr>
        <w:t>3</w:t>
      </w:r>
      <w:r>
        <w:rPr>
          <w:rFonts w:hint="eastAsia"/>
        </w:rPr>
        <w:t>）</w:t>
      </w:r>
      <w:r w:rsidRPr="00037450">
        <w:rPr>
          <w:rFonts w:hint="eastAsia"/>
        </w:rPr>
        <w:t>存货及其质量分析</w:t>
      </w:r>
    </w:p>
    <w:p w:rsidR="00CE0BF7" w:rsidRPr="00037450" w:rsidRDefault="00CE0BF7" w:rsidP="00CE0BF7">
      <w:pPr>
        <w:ind w:firstLineChars="200" w:firstLine="420"/>
      </w:pPr>
      <w:r w:rsidRPr="00037450">
        <w:rPr>
          <w:rFonts w:hint="eastAsia"/>
        </w:rPr>
        <w:t>存货同比减少了</w:t>
      </w:r>
      <w:r>
        <w:rPr>
          <w:rFonts w:hint="eastAsia"/>
        </w:rPr>
        <w:t>4.05</w:t>
      </w:r>
      <w:r w:rsidRPr="00037450">
        <w:rPr>
          <w:rFonts w:hint="eastAsia"/>
        </w:rPr>
        <w:t>%</w:t>
      </w:r>
      <w:r w:rsidRPr="00037450">
        <w:rPr>
          <w:rFonts w:hint="eastAsia"/>
        </w:rPr>
        <w:t>，占资产总额的比重由年初的</w:t>
      </w:r>
      <w:r>
        <w:rPr>
          <w:rFonts w:hint="eastAsia"/>
        </w:rPr>
        <w:t>69.1</w:t>
      </w:r>
      <w:r w:rsidRPr="00037450">
        <w:rPr>
          <w:rFonts w:hint="eastAsia"/>
        </w:rPr>
        <w:t>%</w:t>
      </w:r>
      <w:r w:rsidRPr="00037450">
        <w:rPr>
          <w:rFonts w:hint="eastAsia"/>
        </w:rPr>
        <w:t>下降为</w:t>
      </w:r>
      <w:r>
        <w:rPr>
          <w:rFonts w:hint="eastAsia"/>
        </w:rPr>
        <w:t>62.49</w:t>
      </w:r>
      <w:r w:rsidRPr="00037450">
        <w:rPr>
          <w:rFonts w:hint="eastAsia"/>
        </w:rPr>
        <w:t>%</w:t>
      </w:r>
      <w:r>
        <w:rPr>
          <w:rFonts w:hint="eastAsia"/>
        </w:rPr>
        <w:t>，总体来看，存货占公司资产的份额超过了</w:t>
      </w:r>
      <w:r>
        <w:rPr>
          <w:rFonts w:hint="eastAsia"/>
        </w:rPr>
        <w:t>50%</w:t>
      </w:r>
      <w:r>
        <w:rPr>
          <w:rFonts w:hint="eastAsia"/>
        </w:rPr>
        <w:t>，存货对资产变动的影响较大。由于公司主要为房地产经营，其存货主要是房地产，价值较大，导致公司的存货</w:t>
      </w:r>
      <w:proofErr w:type="gramStart"/>
      <w:r>
        <w:rPr>
          <w:rFonts w:hint="eastAsia"/>
        </w:rPr>
        <w:t>占比较</w:t>
      </w:r>
      <w:proofErr w:type="gramEnd"/>
      <w:r>
        <w:rPr>
          <w:rFonts w:hint="eastAsia"/>
        </w:rPr>
        <w:t>高。</w:t>
      </w:r>
    </w:p>
    <w:p w:rsidR="00CE0BF7" w:rsidRPr="00037450" w:rsidRDefault="00CE0BF7" w:rsidP="00CE0BF7">
      <w:r>
        <w:rPr>
          <w:rFonts w:hint="eastAsia"/>
        </w:rPr>
        <w:t>（</w:t>
      </w:r>
      <w:r>
        <w:rPr>
          <w:rFonts w:hint="eastAsia"/>
        </w:rPr>
        <w:t>4</w:t>
      </w:r>
      <w:r>
        <w:rPr>
          <w:rFonts w:hint="eastAsia"/>
        </w:rPr>
        <w:t>）</w:t>
      </w:r>
      <w:r w:rsidRPr="00037450">
        <w:rPr>
          <w:rFonts w:hint="eastAsia"/>
        </w:rPr>
        <w:t>固定资产及其质量分析</w:t>
      </w:r>
    </w:p>
    <w:p w:rsidR="00CE0BF7" w:rsidRPr="00037450" w:rsidRDefault="00CE0BF7" w:rsidP="00CE0BF7">
      <w:pPr>
        <w:ind w:firstLineChars="200" w:firstLine="420"/>
      </w:pPr>
      <w:r w:rsidRPr="00037450">
        <w:rPr>
          <w:rFonts w:hint="eastAsia"/>
        </w:rPr>
        <w:t>固定资产同比增加了</w:t>
      </w:r>
      <w:r>
        <w:rPr>
          <w:rFonts w:hint="eastAsia"/>
        </w:rPr>
        <w:t>8.39</w:t>
      </w:r>
      <w:r w:rsidRPr="00037450">
        <w:rPr>
          <w:rFonts w:hint="eastAsia"/>
        </w:rPr>
        <w:t>%</w:t>
      </w:r>
      <w:r w:rsidRPr="00037450">
        <w:rPr>
          <w:rFonts w:hint="eastAsia"/>
        </w:rPr>
        <w:t>，占资产总额的比重由年初的</w:t>
      </w:r>
      <w:r>
        <w:rPr>
          <w:rFonts w:hint="eastAsia"/>
        </w:rPr>
        <w:t>0.44</w:t>
      </w:r>
      <w:r w:rsidRPr="00037450">
        <w:rPr>
          <w:rFonts w:hint="eastAsia"/>
        </w:rPr>
        <w:t>%</w:t>
      </w:r>
      <w:r>
        <w:rPr>
          <w:rFonts w:hint="eastAsia"/>
        </w:rPr>
        <w:t>上升</w:t>
      </w:r>
      <w:r w:rsidRPr="00037450">
        <w:rPr>
          <w:rFonts w:hint="eastAsia"/>
        </w:rPr>
        <w:t>为</w:t>
      </w:r>
      <w:r>
        <w:rPr>
          <w:rFonts w:hint="eastAsia"/>
        </w:rPr>
        <w:t>0.45</w:t>
      </w:r>
      <w:r w:rsidRPr="00037450">
        <w:rPr>
          <w:rFonts w:hint="eastAsia"/>
        </w:rPr>
        <w:t>%</w:t>
      </w:r>
      <w:r w:rsidRPr="00037450">
        <w:rPr>
          <w:rFonts w:hint="eastAsia"/>
        </w:rPr>
        <w:t>，下降幅度较</w:t>
      </w:r>
      <w:r>
        <w:rPr>
          <w:rFonts w:hint="eastAsia"/>
        </w:rPr>
        <w:t>大，</w:t>
      </w:r>
      <w:r w:rsidRPr="00037450">
        <w:rPr>
          <w:rFonts w:hint="eastAsia"/>
        </w:rPr>
        <w:t>2014</w:t>
      </w:r>
      <w:r w:rsidRPr="00037450">
        <w:rPr>
          <w:rFonts w:hint="eastAsia"/>
        </w:rPr>
        <w:t>年新增固定资产</w:t>
      </w:r>
      <w:r w:rsidRPr="00CE0BF7">
        <w:t>178,583,799.77</w:t>
      </w:r>
      <w:r w:rsidRPr="00037450">
        <w:rPr>
          <w:rFonts w:hint="eastAsia"/>
        </w:rPr>
        <w:t>元。</w:t>
      </w:r>
    </w:p>
    <w:p w:rsidR="00CE0BF7" w:rsidRDefault="00CE0BF7" w:rsidP="00CE0BF7">
      <w:pPr>
        <w:ind w:firstLineChars="200" w:firstLine="420"/>
        <w:rPr>
          <w:rFonts w:hint="eastAsia"/>
          <w:sz w:val="22"/>
        </w:rPr>
      </w:pPr>
      <w:r w:rsidRPr="00037450">
        <w:rPr>
          <w:rFonts w:hint="eastAsia"/>
        </w:rPr>
        <w:t>从固定资产折旧方法的披露上看，公司根据不同资产项目的情况确定固定资产折旧年限、残值率没有发生变更。且</w:t>
      </w:r>
      <w:r w:rsidRPr="00037450">
        <w:rPr>
          <w:rFonts w:hint="eastAsia"/>
          <w:sz w:val="22"/>
        </w:rPr>
        <w:t>对固定资产的预计使用寿命、预计净残值和折旧方法于每年年度终了进行复核并作适当调整。表明了公司对固定资产折旧的重视程度较高。</w:t>
      </w:r>
    </w:p>
    <w:p w:rsidR="00CE0BF7" w:rsidRPr="00037450" w:rsidRDefault="00CE0BF7" w:rsidP="00CE0BF7">
      <w:pPr>
        <w:rPr>
          <w:sz w:val="22"/>
        </w:rPr>
      </w:pPr>
      <w:r>
        <w:rPr>
          <w:rFonts w:hint="eastAsia"/>
          <w:sz w:val="22"/>
        </w:rPr>
        <w:t>（</w:t>
      </w:r>
      <w:r>
        <w:rPr>
          <w:rFonts w:hint="eastAsia"/>
          <w:sz w:val="22"/>
        </w:rPr>
        <w:t>5</w:t>
      </w:r>
      <w:r>
        <w:rPr>
          <w:rFonts w:hint="eastAsia"/>
          <w:sz w:val="22"/>
        </w:rPr>
        <w:t>）</w:t>
      </w:r>
      <w:r w:rsidRPr="00037450">
        <w:rPr>
          <w:rFonts w:hint="eastAsia"/>
          <w:sz w:val="22"/>
        </w:rPr>
        <w:t>对应付账款的分析</w:t>
      </w:r>
    </w:p>
    <w:p w:rsidR="00CE0BF7" w:rsidRPr="00037450" w:rsidRDefault="00CE0BF7" w:rsidP="00CE0BF7">
      <w:pPr>
        <w:ind w:firstLine="435"/>
      </w:pPr>
      <w:r w:rsidRPr="00037450">
        <w:rPr>
          <w:rFonts w:hint="eastAsia"/>
        </w:rPr>
        <w:t>应付账款虽然同比上涨</w:t>
      </w:r>
      <w:r>
        <w:rPr>
          <w:rFonts w:hint="eastAsia"/>
        </w:rPr>
        <w:t>4.83</w:t>
      </w:r>
      <w:r w:rsidRPr="00037450">
        <w:rPr>
          <w:rFonts w:hint="eastAsia"/>
        </w:rPr>
        <w:t>%</w:t>
      </w:r>
      <w:r>
        <w:rPr>
          <w:rFonts w:hint="eastAsia"/>
        </w:rPr>
        <w:t>，但占权益总额的比重却减少了</w:t>
      </w:r>
      <w:r w:rsidRPr="00037450">
        <w:rPr>
          <w:rFonts w:hint="eastAsia"/>
        </w:rPr>
        <w:t>。通常应付账款的增加多来自于对厂商货款支付时间的延长，或者是采购的时点较晚，以致在期末尚未支付，</w:t>
      </w:r>
      <w:r w:rsidRPr="00CE0BF7">
        <w:rPr>
          <w:rFonts w:hint="eastAsia"/>
        </w:rPr>
        <w:t>而</w:t>
      </w:r>
      <w:r w:rsidRPr="00CE0BF7">
        <w:rPr>
          <w:rFonts w:hint="eastAsia"/>
          <w:bCs/>
        </w:rPr>
        <w:t>通过公司的财务报表附注来看</w:t>
      </w:r>
      <w:r w:rsidRPr="00CE0BF7">
        <w:rPr>
          <w:rFonts w:hint="eastAsia"/>
        </w:rPr>
        <w:t>，</w:t>
      </w:r>
      <w:r w:rsidRPr="00037450">
        <w:rPr>
          <w:rFonts w:hint="eastAsia"/>
        </w:rPr>
        <w:t>公司的主要应付账款是</w:t>
      </w:r>
      <w:r>
        <w:rPr>
          <w:rFonts w:hint="eastAsia"/>
        </w:rPr>
        <w:t>应付及预提工程款</w:t>
      </w:r>
      <w:r w:rsidRPr="00037450">
        <w:rPr>
          <w:rFonts w:hint="eastAsia"/>
        </w:rPr>
        <w:t>，</w:t>
      </w:r>
      <w:r>
        <w:rPr>
          <w:rFonts w:hint="eastAsia"/>
        </w:rPr>
        <w:t>但是</w:t>
      </w:r>
      <w:proofErr w:type="gramStart"/>
      <w:r>
        <w:rPr>
          <w:rFonts w:hint="eastAsia"/>
        </w:rPr>
        <w:t>没有没有</w:t>
      </w:r>
      <w:proofErr w:type="gramEnd"/>
      <w:r>
        <w:rPr>
          <w:rFonts w:hint="eastAsia"/>
        </w:rPr>
        <w:t>账龄超过一年的应付账款</w:t>
      </w:r>
      <w:r w:rsidRPr="00037450">
        <w:rPr>
          <w:rFonts w:hint="eastAsia"/>
        </w:rPr>
        <w:t>，公司不会有太大的偿债压力。</w:t>
      </w:r>
    </w:p>
    <w:p w:rsidR="00CE0BF7" w:rsidRPr="00037450" w:rsidRDefault="00CE0BF7" w:rsidP="00CE0BF7">
      <w:r>
        <w:rPr>
          <w:rFonts w:asciiTheme="minorEastAsia" w:hAnsiTheme="minorEastAsia" w:hint="eastAsia"/>
        </w:rPr>
        <w:t>（</w:t>
      </w:r>
      <w:r w:rsidRPr="00CE0BF7">
        <w:rPr>
          <w:rFonts w:ascii="Times New Roman" w:hAnsi="Times New Roman" w:cs="Times New Roman"/>
        </w:rPr>
        <w:t>6</w:t>
      </w:r>
      <w:r>
        <w:rPr>
          <w:rFonts w:asciiTheme="minorEastAsia" w:hAnsiTheme="minorEastAsia" w:hint="eastAsia"/>
        </w:rPr>
        <w:t>）</w:t>
      </w:r>
      <w:r w:rsidRPr="00037450">
        <w:rPr>
          <w:rFonts w:hint="eastAsia"/>
        </w:rPr>
        <w:t>对所有者权益的分析</w:t>
      </w:r>
    </w:p>
    <w:p w:rsidR="00CE0BF7" w:rsidRPr="00037450" w:rsidRDefault="00CE0BF7" w:rsidP="00CE0BF7">
      <w:pPr>
        <w:ind w:firstLine="435"/>
      </w:pPr>
      <w:r w:rsidRPr="00037450">
        <w:rPr>
          <w:rFonts w:hint="eastAsia"/>
        </w:rPr>
        <w:t>所有者权益较上年上涨了</w:t>
      </w:r>
      <w:r>
        <w:rPr>
          <w:rFonts w:hint="eastAsia"/>
        </w:rPr>
        <w:t>9.91</w:t>
      </w:r>
      <w:r w:rsidRPr="00037450">
        <w:rPr>
          <w:rFonts w:hint="eastAsia"/>
        </w:rPr>
        <w:t>%</w:t>
      </w:r>
      <w:r w:rsidRPr="00037450">
        <w:rPr>
          <w:rFonts w:hint="eastAsia"/>
        </w:rPr>
        <w:t>，占权益总额的比重也由年初的</w:t>
      </w:r>
      <w:r>
        <w:rPr>
          <w:rFonts w:hint="eastAsia"/>
        </w:rPr>
        <w:t>22.00%</w:t>
      </w:r>
      <w:r w:rsidRPr="00037450">
        <w:rPr>
          <w:rFonts w:hint="eastAsia"/>
        </w:rPr>
        <w:t>上升为</w:t>
      </w:r>
      <w:r>
        <w:rPr>
          <w:rFonts w:hint="eastAsia"/>
        </w:rPr>
        <w:t>22.80</w:t>
      </w:r>
      <w:r w:rsidRPr="00037450">
        <w:rPr>
          <w:rFonts w:hint="eastAsia"/>
        </w:rPr>
        <w:t>%</w:t>
      </w:r>
      <w:r w:rsidRPr="00037450">
        <w:rPr>
          <w:rFonts w:hint="eastAsia"/>
        </w:rPr>
        <w:t>。主要是盈余公积和未分配利润的增幅较大，不难看出，这是公司盈利所致。</w:t>
      </w:r>
    </w:p>
    <w:p w:rsidR="00CE0BF7" w:rsidRDefault="00EC055A" w:rsidP="00CE0BF7">
      <w:pPr>
        <w:pStyle w:val="3"/>
        <w:spacing w:before="0" w:after="0" w:line="240" w:lineRule="auto"/>
        <w:ind w:firstLineChars="200" w:firstLine="422"/>
        <w:rPr>
          <w:rFonts w:ascii="宋体" w:eastAsia="宋体" w:hAnsi="宋体" w:cs="Times New Roman" w:hint="eastAsia"/>
          <w:sz w:val="21"/>
          <w:szCs w:val="21"/>
        </w:rPr>
      </w:pPr>
      <w:r w:rsidRPr="00CE0BF7">
        <w:rPr>
          <w:rFonts w:ascii="宋体" w:eastAsia="宋体" w:hAnsi="宋体" w:cs="Times New Roman" w:hint="eastAsia"/>
          <w:sz w:val="21"/>
          <w:szCs w:val="21"/>
        </w:rPr>
        <w:t>4.</w:t>
      </w:r>
      <w:r w:rsidR="00CE0BF7">
        <w:rPr>
          <w:rFonts w:ascii="宋体" w:eastAsia="宋体" w:hAnsi="宋体" w:cs="Times New Roman" w:hint="eastAsia"/>
          <w:sz w:val="21"/>
          <w:szCs w:val="21"/>
        </w:rPr>
        <w:t>对公司的利润</w:t>
      </w:r>
      <w:proofErr w:type="gramStart"/>
      <w:r w:rsidR="00CE0BF7">
        <w:rPr>
          <w:rFonts w:ascii="宋体" w:eastAsia="宋体" w:hAnsi="宋体" w:cs="Times New Roman" w:hint="eastAsia"/>
          <w:sz w:val="21"/>
          <w:szCs w:val="21"/>
        </w:rPr>
        <w:t>表项目</w:t>
      </w:r>
      <w:proofErr w:type="gramEnd"/>
      <w:r w:rsidR="00CE0BF7">
        <w:rPr>
          <w:rFonts w:ascii="宋体" w:eastAsia="宋体" w:hAnsi="宋体" w:cs="Times New Roman" w:hint="eastAsia"/>
          <w:sz w:val="21"/>
          <w:szCs w:val="21"/>
        </w:rPr>
        <w:t>进行</w:t>
      </w:r>
    </w:p>
    <w:p w:rsidR="00CE0BF7" w:rsidRDefault="00CE0BF7" w:rsidP="00CE0BF7">
      <w:pPr>
        <w:ind w:firstLine="420"/>
        <w:rPr>
          <w:rFonts w:hint="eastAsia"/>
        </w:rPr>
      </w:pPr>
      <w:r>
        <w:rPr>
          <w:rFonts w:hint="eastAsia"/>
        </w:rPr>
        <w:t>主要对营业收入、营业成本、营业税金及附加、销售费用、管理费用、财务费用进行简单分析。万科</w:t>
      </w:r>
      <w:r>
        <w:rPr>
          <w:rFonts w:hint="eastAsia"/>
        </w:rPr>
        <w:t>2013-2014</w:t>
      </w:r>
      <w:r>
        <w:rPr>
          <w:rFonts w:hint="eastAsia"/>
        </w:rPr>
        <w:t>年利润</w:t>
      </w:r>
      <w:proofErr w:type="gramStart"/>
      <w:r>
        <w:rPr>
          <w:rFonts w:hint="eastAsia"/>
        </w:rPr>
        <w:t>表项目</w:t>
      </w:r>
      <w:proofErr w:type="gramEnd"/>
      <w:r>
        <w:rPr>
          <w:rFonts w:hint="eastAsia"/>
        </w:rPr>
        <w:t>情况如表</w:t>
      </w:r>
      <w:r>
        <w:rPr>
          <w:rFonts w:hint="eastAsia"/>
        </w:rPr>
        <w:t>11-4</w:t>
      </w:r>
      <w:r>
        <w:rPr>
          <w:rFonts w:hint="eastAsia"/>
        </w:rPr>
        <w:t>所示。</w:t>
      </w:r>
    </w:p>
    <w:p w:rsidR="00CE0BF7" w:rsidRDefault="00CE0BF7" w:rsidP="00CE0BF7">
      <w:pPr>
        <w:ind w:firstLine="420"/>
        <w:jc w:val="center"/>
        <w:rPr>
          <w:rFonts w:hint="eastAsia"/>
        </w:rPr>
      </w:pPr>
      <w:r>
        <w:rPr>
          <w:rFonts w:hint="eastAsia"/>
        </w:rPr>
        <w:t>表</w:t>
      </w:r>
      <w:r>
        <w:rPr>
          <w:rFonts w:hint="eastAsia"/>
        </w:rPr>
        <w:t xml:space="preserve">11-4 </w:t>
      </w:r>
      <w:r>
        <w:rPr>
          <w:rFonts w:hint="eastAsia"/>
        </w:rPr>
        <w:t>万科</w:t>
      </w:r>
      <w:r>
        <w:rPr>
          <w:rFonts w:hint="eastAsia"/>
        </w:rPr>
        <w:t>2013-2014</w:t>
      </w:r>
      <w:r>
        <w:rPr>
          <w:rFonts w:hint="eastAsia"/>
        </w:rPr>
        <w:t>年利润</w:t>
      </w:r>
      <w:proofErr w:type="gramStart"/>
      <w:r>
        <w:rPr>
          <w:rFonts w:hint="eastAsia"/>
        </w:rPr>
        <w:t>表项目</w:t>
      </w:r>
      <w:proofErr w:type="gramEnd"/>
      <w:r>
        <w:rPr>
          <w:rFonts w:hint="eastAsia"/>
        </w:rPr>
        <w:t>情况表</w:t>
      </w:r>
    </w:p>
    <w:tbl>
      <w:tblPr>
        <w:tblW w:w="901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56"/>
        <w:gridCol w:w="2106"/>
        <w:gridCol w:w="2016"/>
        <w:gridCol w:w="1080"/>
        <w:gridCol w:w="1080"/>
        <w:gridCol w:w="1080"/>
      </w:tblGrid>
      <w:tr w:rsidR="00CE0BF7" w:rsidRPr="00CE0BF7" w:rsidTr="00CE0BF7">
        <w:trPr>
          <w:trHeight w:val="270"/>
        </w:trPr>
        <w:tc>
          <w:tcPr>
            <w:tcW w:w="1656" w:type="dxa"/>
            <w:vMerge w:val="restart"/>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项目</w:t>
            </w:r>
          </w:p>
        </w:tc>
        <w:tc>
          <w:tcPr>
            <w:tcW w:w="2106" w:type="dxa"/>
            <w:vMerge w:val="restart"/>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2014年</w:t>
            </w:r>
          </w:p>
        </w:tc>
        <w:tc>
          <w:tcPr>
            <w:tcW w:w="2016" w:type="dxa"/>
            <w:vMerge w:val="restart"/>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2013年</w:t>
            </w:r>
          </w:p>
        </w:tc>
        <w:tc>
          <w:tcPr>
            <w:tcW w:w="1080" w:type="dxa"/>
            <w:vMerge w:val="restart"/>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增（减）</w:t>
            </w:r>
          </w:p>
        </w:tc>
        <w:tc>
          <w:tcPr>
            <w:tcW w:w="2160" w:type="dxa"/>
            <w:gridSpan w:val="2"/>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结构</w:t>
            </w:r>
          </w:p>
        </w:tc>
      </w:tr>
      <w:tr w:rsidR="00CE0BF7" w:rsidRPr="00CE0BF7" w:rsidTr="00CE0BF7">
        <w:trPr>
          <w:trHeight w:val="270"/>
        </w:trPr>
        <w:tc>
          <w:tcPr>
            <w:tcW w:w="1656" w:type="dxa"/>
            <w:vMerge/>
            <w:vAlign w:val="center"/>
            <w:hideMark/>
          </w:tcPr>
          <w:p w:rsidR="00CE0BF7" w:rsidRPr="00CE0BF7" w:rsidRDefault="00CE0BF7" w:rsidP="00CE0BF7">
            <w:pPr>
              <w:widowControl/>
              <w:jc w:val="center"/>
              <w:rPr>
                <w:rFonts w:ascii="楷体" w:eastAsia="楷体" w:hAnsi="楷体" w:cs="宋体"/>
                <w:color w:val="000000"/>
                <w:kern w:val="0"/>
                <w:sz w:val="18"/>
                <w:szCs w:val="18"/>
              </w:rPr>
            </w:pPr>
          </w:p>
        </w:tc>
        <w:tc>
          <w:tcPr>
            <w:tcW w:w="2106" w:type="dxa"/>
            <w:vMerge/>
            <w:vAlign w:val="center"/>
            <w:hideMark/>
          </w:tcPr>
          <w:p w:rsidR="00CE0BF7" w:rsidRPr="00CE0BF7" w:rsidRDefault="00CE0BF7" w:rsidP="00CE0BF7">
            <w:pPr>
              <w:widowControl/>
              <w:jc w:val="center"/>
              <w:rPr>
                <w:rFonts w:ascii="楷体" w:eastAsia="楷体" w:hAnsi="楷体" w:cs="宋体"/>
                <w:color w:val="000000"/>
                <w:kern w:val="0"/>
                <w:sz w:val="18"/>
                <w:szCs w:val="18"/>
              </w:rPr>
            </w:pPr>
          </w:p>
        </w:tc>
        <w:tc>
          <w:tcPr>
            <w:tcW w:w="2016" w:type="dxa"/>
            <w:vMerge/>
            <w:vAlign w:val="center"/>
            <w:hideMark/>
          </w:tcPr>
          <w:p w:rsidR="00CE0BF7" w:rsidRPr="00CE0BF7" w:rsidRDefault="00CE0BF7" w:rsidP="00CE0BF7">
            <w:pPr>
              <w:widowControl/>
              <w:jc w:val="center"/>
              <w:rPr>
                <w:rFonts w:ascii="楷体" w:eastAsia="楷体" w:hAnsi="楷体" w:cs="宋体"/>
                <w:color w:val="000000"/>
                <w:kern w:val="0"/>
                <w:sz w:val="18"/>
                <w:szCs w:val="18"/>
              </w:rPr>
            </w:pPr>
          </w:p>
        </w:tc>
        <w:tc>
          <w:tcPr>
            <w:tcW w:w="1080" w:type="dxa"/>
            <w:vMerge/>
            <w:vAlign w:val="center"/>
            <w:hideMark/>
          </w:tcPr>
          <w:p w:rsidR="00CE0BF7" w:rsidRPr="00CE0BF7" w:rsidRDefault="00CE0BF7" w:rsidP="00CE0BF7">
            <w:pPr>
              <w:widowControl/>
              <w:jc w:val="center"/>
              <w:rPr>
                <w:rFonts w:ascii="楷体" w:eastAsia="楷体" w:hAnsi="楷体" w:cs="宋体"/>
                <w:color w:val="000000"/>
                <w:kern w:val="0"/>
                <w:sz w:val="18"/>
                <w:szCs w:val="18"/>
              </w:rPr>
            </w:pPr>
          </w:p>
        </w:tc>
        <w:tc>
          <w:tcPr>
            <w:tcW w:w="1080" w:type="dxa"/>
            <w:shd w:val="clear" w:color="auto" w:fill="auto"/>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2014年</w:t>
            </w:r>
          </w:p>
        </w:tc>
        <w:tc>
          <w:tcPr>
            <w:tcW w:w="1080" w:type="dxa"/>
            <w:shd w:val="clear" w:color="auto" w:fill="auto"/>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2013年</w:t>
            </w:r>
          </w:p>
        </w:tc>
      </w:tr>
      <w:tr w:rsidR="00CE0BF7" w:rsidRPr="00CE0BF7" w:rsidTr="00CE0BF7">
        <w:trPr>
          <w:trHeight w:val="270"/>
        </w:trPr>
        <w:tc>
          <w:tcPr>
            <w:tcW w:w="165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营业收入</w:t>
            </w:r>
          </w:p>
        </w:tc>
        <w:tc>
          <w:tcPr>
            <w:tcW w:w="210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146,388,004,498.44</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135,418,791,080.35</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8.10%</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100.00%</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100.00%</w:t>
            </w:r>
          </w:p>
        </w:tc>
      </w:tr>
      <w:tr w:rsidR="00CE0BF7" w:rsidRPr="00CE0BF7" w:rsidTr="00CE0BF7">
        <w:trPr>
          <w:trHeight w:val="270"/>
        </w:trPr>
        <w:tc>
          <w:tcPr>
            <w:tcW w:w="165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营业成本</w:t>
            </w:r>
          </w:p>
        </w:tc>
        <w:tc>
          <w:tcPr>
            <w:tcW w:w="210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-102,557,063,731.11</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-92,797,650,762.81</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10.52%</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-70.06%</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-68.53%</w:t>
            </w:r>
          </w:p>
        </w:tc>
      </w:tr>
      <w:tr w:rsidR="00CE0BF7" w:rsidRPr="00CE0BF7" w:rsidTr="00CE0BF7">
        <w:trPr>
          <w:trHeight w:val="270"/>
        </w:trPr>
        <w:tc>
          <w:tcPr>
            <w:tcW w:w="165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营业税金及附加</w:t>
            </w:r>
          </w:p>
        </w:tc>
        <w:tc>
          <w:tcPr>
            <w:tcW w:w="210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-13,166,745,863.90</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-11,544,998,138.82</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14.05%</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-8.99%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-8.53%</w:t>
            </w:r>
          </w:p>
        </w:tc>
      </w:tr>
      <w:tr w:rsidR="00CE0BF7" w:rsidRPr="00CE0BF7" w:rsidTr="00CE0BF7">
        <w:trPr>
          <w:trHeight w:val="270"/>
        </w:trPr>
        <w:tc>
          <w:tcPr>
            <w:tcW w:w="165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销售费用</w:t>
            </w:r>
          </w:p>
        </w:tc>
        <w:tc>
          <w:tcPr>
            <w:tcW w:w="210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-4,521,889,478.29</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-3,864,713,570.44</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17.00%</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-3.09%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-2.85%</w:t>
            </w:r>
          </w:p>
        </w:tc>
      </w:tr>
      <w:tr w:rsidR="00CE0BF7" w:rsidRPr="00CE0BF7" w:rsidTr="00CE0BF7">
        <w:trPr>
          <w:trHeight w:val="270"/>
        </w:trPr>
        <w:tc>
          <w:tcPr>
            <w:tcW w:w="165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财务费用</w:t>
            </w:r>
          </w:p>
        </w:tc>
        <w:tc>
          <w:tcPr>
            <w:tcW w:w="210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-640,839,545.38</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-891,715,053.49</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-28.13%</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-0.44%</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-0.66%</w:t>
            </w:r>
          </w:p>
        </w:tc>
      </w:tr>
      <w:tr w:rsidR="00CE0BF7" w:rsidRPr="00CE0BF7" w:rsidTr="00CE0BF7">
        <w:trPr>
          <w:trHeight w:val="270"/>
        </w:trPr>
        <w:tc>
          <w:tcPr>
            <w:tcW w:w="165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管理费用</w:t>
            </w:r>
          </w:p>
        </w:tc>
        <w:tc>
          <w:tcPr>
            <w:tcW w:w="210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-3,902,617,687.02</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-3,002,837,563.15</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29.96%</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-2.67%</w:t>
            </w:r>
          </w:p>
        </w:tc>
        <w:tc>
          <w:tcPr>
            <w:tcW w:w="1080"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-2.22%</w:t>
            </w:r>
          </w:p>
        </w:tc>
      </w:tr>
      <w:tr w:rsidR="00CE0BF7" w:rsidRPr="00CE0BF7" w:rsidTr="003371A4">
        <w:trPr>
          <w:trHeight w:val="270"/>
        </w:trPr>
        <w:tc>
          <w:tcPr>
            <w:tcW w:w="1656" w:type="dxa"/>
            <w:shd w:val="clear" w:color="auto" w:fill="auto"/>
            <w:noWrap/>
            <w:hideMark/>
          </w:tcPr>
          <w:p w:rsidR="00CE0BF7" w:rsidRPr="00CE0BF7" w:rsidRDefault="00CE0BF7" w:rsidP="00CE0BF7">
            <w:pPr>
              <w:widowControl/>
              <w:jc w:val="center"/>
              <w:rPr>
                <w:rFonts w:ascii="楷体" w:eastAsia="楷体" w:hAnsi="楷体" w:cs="宋体" w:hint="eastAsia"/>
                <w:color w:val="000000"/>
                <w:kern w:val="0"/>
                <w:sz w:val="18"/>
                <w:szCs w:val="18"/>
              </w:rPr>
            </w:pPr>
            <w:r w:rsidRPr="00CE0BF7">
              <w:rPr>
                <w:rFonts w:ascii="楷体" w:eastAsia="楷体" w:hAnsi="楷体" w:cs="宋体" w:hint="eastAsia"/>
                <w:color w:val="000000"/>
                <w:kern w:val="0"/>
                <w:sz w:val="18"/>
                <w:szCs w:val="18"/>
              </w:rPr>
              <w:t>营业利润</w:t>
            </w:r>
          </w:p>
        </w:tc>
        <w:tc>
          <w:tcPr>
            <w:tcW w:w="2106" w:type="dxa"/>
            <w:shd w:val="clear" w:color="auto" w:fill="auto"/>
            <w:noWrap/>
            <w:hideMark/>
          </w:tcPr>
          <w:p w:rsidR="00CE0BF7" w:rsidRPr="00CE0BF7" w:rsidRDefault="00CE0BF7" w:rsidP="00CE0BF7">
            <w:pPr>
              <w:widowControl/>
              <w:jc w:val="center"/>
              <w:rPr>
                <w:rFonts w:ascii="楷体" w:eastAsia="楷体" w:hAnsi="楷体" w:cs="宋体" w:hint="eastAsia"/>
                <w:color w:val="000000"/>
                <w:kern w:val="0"/>
                <w:sz w:val="18"/>
                <w:szCs w:val="18"/>
              </w:rPr>
            </w:pPr>
            <w:r w:rsidRPr="00CE0BF7">
              <w:rPr>
                <w:rFonts w:ascii="楷体" w:eastAsia="楷体" w:hAnsi="楷体" w:cs="宋体" w:hint="eastAsia"/>
                <w:color w:val="000000"/>
                <w:kern w:val="0"/>
                <w:sz w:val="18"/>
                <w:szCs w:val="18"/>
              </w:rPr>
              <w:t>24,979,358,867.78</w:t>
            </w:r>
          </w:p>
        </w:tc>
        <w:tc>
          <w:tcPr>
            <w:tcW w:w="2016" w:type="dxa"/>
            <w:shd w:val="clear" w:color="auto" w:fill="auto"/>
            <w:noWrap/>
            <w:hideMark/>
          </w:tcPr>
          <w:p w:rsidR="00CE0BF7" w:rsidRPr="00CE0BF7" w:rsidRDefault="00CE0BF7" w:rsidP="00CE0BF7">
            <w:pPr>
              <w:widowControl/>
              <w:jc w:val="center"/>
              <w:rPr>
                <w:rFonts w:ascii="楷体" w:eastAsia="楷体" w:hAnsi="楷体" w:cs="宋体" w:hint="eastAsia"/>
                <w:color w:val="000000"/>
                <w:kern w:val="0"/>
                <w:sz w:val="18"/>
                <w:szCs w:val="18"/>
              </w:rPr>
            </w:pPr>
            <w:r w:rsidRPr="00CE0BF7">
              <w:rPr>
                <w:rFonts w:ascii="楷体" w:eastAsia="楷体" w:hAnsi="楷体" w:cs="宋体" w:hint="eastAsia"/>
                <w:color w:val="000000"/>
                <w:kern w:val="0"/>
                <w:sz w:val="18"/>
                <w:szCs w:val="18"/>
              </w:rPr>
              <w:t>24,261,338,387.14</w:t>
            </w:r>
          </w:p>
        </w:tc>
        <w:tc>
          <w:tcPr>
            <w:tcW w:w="1080" w:type="dxa"/>
            <w:shd w:val="clear" w:color="auto" w:fill="auto"/>
            <w:noWrap/>
            <w:hideMark/>
          </w:tcPr>
          <w:p w:rsidR="00CE0BF7" w:rsidRPr="00CE0BF7" w:rsidRDefault="00CE0BF7" w:rsidP="00CE0BF7">
            <w:pPr>
              <w:widowControl/>
              <w:jc w:val="center"/>
              <w:rPr>
                <w:rFonts w:ascii="楷体" w:eastAsia="楷体" w:hAnsi="楷体" w:cs="宋体" w:hint="eastAsia"/>
                <w:color w:val="000000"/>
                <w:kern w:val="0"/>
                <w:sz w:val="18"/>
                <w:szCs w:val="18"/>
              </w:rPr>
            </w:pPr>
            <w:r w:rsidRPr="00CE0BF7">
              <w:rPr>
                <w:rFonts w:ascii="楷体" w:eastAsia="楷体" w:hAnsi="楷体" w:cs="宋体" w:hint="eastAsia"/>
                <w:color w:val="000000"/>
                <w:kern w:val="0"/>
                <w:sz w:val="18"/>
                <w:szCs w:val="18"/>
              </w:rPr>
              <w:t>2.96%</w:t>
            </w:r>
          </w:p>
        </w:tc>
        <w:tc>
          <w:tcPr>
            <w:tcW w:w="1080" w:type="dxa"/>
            <w:shd w:val="clear" w:color="auto" w:fill="auto"/>
            <w:noWrap/>
            <w:hideMark/>
          </w:tcPr>
          <w:p w:rsidR="00CE0BF7" w:rsidRPr="00CE0BF7" w:rsidRDefault="00CE0BF7" w:rsidP="00CE0BF7">
            <w:pPr>
              <w:widowControl/>
              <w:jc w:val="center"/>
              <w:rPr>
                <w:rFonts w:ascii="楷体" w:eastAsia="楷体" w:hAnsi="楷体" w:cs="宋体" w:hint="eastAsia"/>
                <w:color w:val="000000"/>
                <w:kern w:val="0"/>
                <w:sz w:val="18"/>
                <w:szCs w:val="18"/>
              </w:rPr>
            </w:pPr>
            <w:r w:rsidRPr="00CE0BF7">
              <w:rPr>
                <w:rFonts w:ascii="楷体" w:eastAsia="楷体" w:hAnsi="楷体" w:cs="宋体" w:hint="eastAsia"/>
                <w:color w:val="000000"/>
                <w:kern w:val="0"/>
                <w:sz w:val="18"/>
                <w:szCs w:val="18"/>
              </w:rPr>
              <w:t>17.06%</w:t>
            </w:r>
          </w:p>
        </w:tc>
        <w:tc>
          <w:tcPr>
            <w:tcW w:w="1080" w:type="dxa"/>
            <w:shd w:val="clear" w:color="auto" w:fill="auto"/>
            <w:noWrap/>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17.92%</w:t>
            </w:r>
          </w:p>
        </w:tc>
      </w:tr>
    </w:tbl>
    <w:p w:rsidR="00CE0BF7" w:rsidRDefault="00CE0BF7" w:rsidP="00CE0BF7">
      <w:pPr>
        <w:rPr>
          <w:rFonts w:hint="eastAsia"/>
        </w:rPr>
      </w:pPr>
    </w:p>
    <w:p w:rsidR="00CE0BF7" w:rsidRPr="00037450" w:rsidRDefault="00CE0BF7" w:rsidP="00CE0BF7">
      <w:r>
        <w:rPr>
          <w:rFonts w:hint="eastAsia"/>
        </w:rPr>
        <w:t>（</w:t>
      </w:r>
      <w:r>
        <w:rPr>
          <w:rFonts w:hint="eastAsia"/>
        </w:rPr>
        <w:t>1</w:t>
      </w:r>
      <w:r>
        <w:rPr>
          <w:rFonts w:hint="eastAsia"/>
        </w:rPr>
        <w:t>）</w:t>
      </w:r>
      <w:r w:rsidRPr="00037450">
        <w:rPr>
          <w:rFonts w:hint="eastAsia"/>
        </w:rPr>
        <w:t>对营业收入的分析</w:t>
      </w:r>
    </w:p>
    <w:p w:rsidR="00CE0BF7" w:rsidRPr="00037450" w:rsidRDefault="00CE0BF7" w:rsidP="00CE0BF7">
      <w:pPr>
        <w:ind w:firstLineChars="200" w:firstLine="420"/>
      </w:pPr>
      <w:r w:rsidRPr="00037450">
        <w:rPr>
          <w:rFonts w:hint="eastAsia"/>
        </w:rPr>
        <w:t>公司</w:t>
      </w:r>
      <w:r w:rsidRPr="00037450">
        <w:rPr>
          <w:rFonts w:hint="eastAsia"/>
        </w:rPr>
        <w:t>2014</w:t>
      </w:r>
      <w:r w:rsidRPr="00037450">
        <w:rPr>
          <w:rFonts w:hint="eastAsia"/>
        </w:rPr>
        <w:t>年实现营业收入</w:t>
      </w:r>
      <w:r w:rsidRPr="00CE0BF7">
        <w:t>146,388,004,498.44</w:t>
      </w:r>
      <w:r w:rsidRPr="00037450">
        <w:rPr>
          <w:rFonts w:hint="eastAsia"/>
        </w:rPr>
        <w:t>元，同比</w:t>
      </w:r>
      <w:r>
        <w:rPr>
          <w:rFonts w:hint="eastAsia"/>
        </w:rPr>
        <w:t>增加</w:t>
      </w:r>
      <w:r w:rsidRPr="00037450">
        <w:rPr>
          <w:rFonts w:hint="eastAsia"/>
        </w:rPr>
        <w:t>了</w:t>
      </w:r>
      <w:r>
        <w:rPr>
          <w:rFonts w:hint="eastAsia"/>
        </w:rPr>
        <w:t>8.1</w:t>
      </w:r>
      <w:r w:rsidRPr="00037450">
        <w:rPr>
          <w:rFonts w:hint="eastAsia"/>
        </w:rPr>
        <w:t>%</w:t>
      </w:r>
      <w:r w:rsidRPr="00037450">
        <w:rPr>
          <w:rFonts w:hint="eastAsia"/>
        </w:rPr>
        <w:t>。</w:t>
      </w:r>
      <w:r>
        <w:rPr>
          <w:rFonts w:hint="eastAsia"/>
        </w:rPr>
        <w:t>盈利能力较强。从财务报告附注中看出，房地产业</w:t>
      </w:r>
      <w:proofErr w:type="gramStart"/>
      <w:r>
        <w:rPr>
          <w:rFonts w:hint="eastAsia"/>
        </w:rPr>
        <w:t>务</w:t>
      </w:r>
      <w:proofErr w:type="gramEnd"/>
      <w:r>
        <w:rPr>
          <w:rFonts w:hint="eastAsia"/>
        </w:rPr>
        <w:t>收入占营业收入的比重最大，但是物业服务收入增加幅</w:t>
      </w:r>
      <w:r>
        <w:rPr>
          <w:rFonts w:hint="eastAsia"/>
        </w:rPr>
        <w:lastRenderedPageBreak/>
        <w:t>度较大，增加了</w:t>
      </w:r>
      <w:r>
        <w:rPr>
          <w:rFonts w:hint="eastAsia"/>
        </w:rPr>
        <w:t>35.13%</w:t>
      </w:r>
      <w:r>
        <w:rPr>
          <w:rFonts w:hint="eastAsia"/>
        </w:rPr>
        <w:t>，但房地产行业收入仅增加</w:t>
      </w:r>
      <w:r>
        <w:rPr>
          <w:rFonts w:hint="eastAsia"/>
        </w:rPr>
        <w:t>8.09%</w:t>
      </w:r>
      <w:r>
        <w:rPr>
          <w:rFonts w:hint="eastAsia"/>
        </w:rPr>
        <w:t>，房地产业</w:t>
      </w:r>
      <w:proofErr w:type="gramStart"/>
      <w:r>
        <w:rPr>
          <w:rFonts w:hint="eastAsia"/>
        </w:rPr>
        <w:t>务</w:t>
      </w:r>
      <w:proofErr w:type="gramEnd"/>
      <w:r>
        <w:rPr>
          <w:rFonts w:hint="eastAsia"/>
        </w:rPr>
        <w:t>收入增长潜力较小，而物业服务收入增长潜力较大。</w:t>
      </w:r>
    </w:p>
    <w:p w:rsidR="00CE0BF7" w:rsidRPr="00037450" w:rsidRDefault="00CE0BF7" w:rsidP="00CE0BF7">
      <w:r>
        <w:rPr>
          <w:rFonts w:hint="eastAsia"/>
        </w:rPr>
        <w:t>（</w:t>
      </w:r>
      <w:r>
        <w:rPr>
          <w:rFonts w:hint="eastAsia"/>
        </w:rPr>
        <w:t>2</w:t>
      </w:r>
      <w:r>
        <w:rPr>
          <w:rFonts w:hint="eastAsia"/>
        </w:rPr>
        <w:t>）</w:t>
      </w:r>
      <w:r w:rsidRPr="00037450">
        <w:rPr>
          <w:rFonts w:hint="eastAsia"/>
        </w:rPr>
        <w:t>对营业利润的分析</w:t>
      </w:r>
    </w:p>
    <w:p w:rsidR="00CE0BF7" w:rsidRDefault="00CE0BF7" w:rsidP="00CE0BF7">
      <w:pPr>
        <w:ind w:firstLine="435"/>
        <w:rPr>
          <w:rFonts w:hint="eastAsia"/>
        </w:rPr>
      </w:pPr>
      <w:r w:rsidRPr="00037450">
        <w:rPr>
          <w:rFonts w:hint="eastAsia"/>
        </w:rPr>
        <w:t>2014</w:t>
      </w:r>
      <w:r w:rsidRPr="00037450">
        <w:rPr>
          <w:rFonts w:hint="eastAsia"/>
        </w:rPr>
        <w:t>年营业利润同比增长</w:t>
      </w:r>
      <w:r>
        <w:rPr>
          <w:rFonts w:hint="eastAsia"/>
        </w:rPr>
        <w:t>2.96</w:t>
      </w:r>
      <w:r w:rsidRPr="00037450">
        <w:rPr>
          <w:rFonts w:hint="eastAsia"/>
        </w:rPr>
        <w:t>%</w:t>
      </w:r>
      <w:r w:rsidRPr="00037450">
        <w:rPr>
          <w:rFonts w:hint="eastAsia"/>
        </w:rPr>
        <w:t>，营业利润占营业收入的比重</w:t>
      </w:r>
      <w:r>
        <w:rPr>
          <w:rFonts w:hint="eastAsia"/>
        </w:rPr>
        <w:t>却</w:t>
      </w:r>
      <w:r w:rsidRPr="00037450">
        <w:rPr>
          <w:rFonts w:hint="eastAsia"/>
        </w:rPr>
        <w:t>由上年的</w:t>
      </w:r>
      <w:r>
        <w:rPr>
          <w:rFonts w:hint="eastAsia"/>
        </w:rPr>
        <w:t>17.92</w:t>
      </w:r>
      <w:r w:rsidRPr="00037450">
        <w:rPr>
          <w:rFonts w:hint="eastAsia"/>
        </w:rPr>
        <w:t>%</w:t>
      </w:r>
      <w:r>
        <w:rPr>
          <w:rFonts w:hint="eastAsia"/>
        </w:rPr>
        <w:t>下降</w:t>
      </w:r>
      <w:r w:rsidRPr="00037450">
        <w:rPr>
          <w:rFonts w:hint="eastAsia"/>
        </w:rPr>
        <w:t>为</w:t>
      </w:r>
      <w:r>
        <w:rPr>
          <w:rFonts w:hint="eastAsia"/>
        </w:rPr>
        <w:t>17.06</w:t>
      </w:r>
      <w:r w:rsidRPr="00037450">
        <w:rPr>
          <w:rFonts w:hint="eastAsia"/>
        </w:rPr>
        <w:t>%</w:t>
      </w:r>
      <w:r>
        <w:rPr>
          <w:rFonts w:hint="eastAsia"/>
        </w:rPr>
        <w:t>。营业利润增加的幅度远小于营业收入的增加幅度。从利润</w:t>
      </w:r>
      <w:proofErr w:type="gramStart"/>
      <w:r>
        <w:rPr>
          <w:rFonts w:hint="eastAsia"/>
        </w:rPr>
        <w:t>表项目</w:t>
      </w:r>
      <w:proofErr w:type="gramEnd"/>
      <w:r>
        <w:rPr>
          <w:rFonts w:hint="eastAsia"/>
        </w:rPr>
        <w:t>可以看出，公司营业成本、营业税金及附加、销售费用、管理费用均同比增加，只有财务费用下降，总体来看，各项成本费用的增加，在一定程度削弱了营业收入上涨的优势。</w:t>
      </w:r>
    </w:p>
    <w:p w:rsidR="00EC055A" w:rsidRDefault="00EC055A" w:rsidP="00CE0BF7">
      <w:pPr>
        <w:pStyle w:val="3"/>
        <w:spacing w:before="0" w:after="0" w:line="240" w:lineRule="auto"/>
        <w:ind w:firstLineChars="200" w:firstLine="422"/>
        <w:rPr>
          <w:rFonts w:ascii="宋体" w:eastAsia="宋体" w:hAnsi="宋体" w:cs="Times New Roman" w:hint="eastAsia"/>
          <w:sz w:val="21"/>
          <w:szCs w:val="21"/>
        </w:rPr>
      </w:pPr>
      <w:r w:rsidRPr="00CE0BF7">
        <w:rPr>
          <w:rFonts w:ascii="宋体" w:eastAsia="宋体" w:hAnsi="宋体" w:cs="Times New Roman" w:hint="eastAsia"/>
          <w:sz w:val="21"/>
          <w:szCs w:val="21"/>
        </w:rPr>
        <w:t>5.对公司的现金流量表各项活动产生的现金流量进行分析</w:t>
      </w:r>
    </w:p>
    <w:p w:rsidR="00CE0BF7" w:rsidRDefault="00CE0BF7" w:rsidP="00CE0BF7">
      <w:pPr>
        <w:ind w:firstLine="420"/>
        <w:rPr>
          <w:rFonts w:hint="eastAsia"/>
        </w:rPr>
      </w:pPr>
      <w:r>
        <w:rPr>
          <w:rFonts w:hint="eastAsia"/>
        </w:rPr>
        <w:t>主要对经营活动产生的现金净流量、投资活动产生的现金净流量和筹资活动产生的现金净流量进行简单分析。万科</w:t>
      </w:r>
      <w:r>
        <w:rPr>
          <w:rFonts w:hint="eastAsia"/>
        </w:rPr>
        <w:t>2013-2014</w:t>
      </w:r>
      <w:r>
        <w:rPr>
          <w:rFonts w:hint="eastAsia"/>
        </w:rPr>
        <w:t>年现金流量表主要项目情况如表</w:t>
      </w:r>
      <w:r>
        <w:rPr>
          <w:rFonts w:hint="eastAsia"/>
        </w:rPr>
        <w:t>11-5</w:t>
      </w:r>
      <w:r>
        <w:rPr>
          <w:rFonts w:hint="eastAsia"/>
        </w:rPr>
        <w:t>所示。</w:t>
      </w:r>
    </w:p>
    <w:p w:rsidR="00CE0BF7" w:rsidRDefault="00CE0BF7" w:rsidP="00CE0BF7">
      <w:pPr>
        <w:ind w:firstLine="420"/>
        <w:jc w:val="center"/>
        <w:rPr>
          <w:rFonts w:hint="eastAsia"/>
        </w:rPr>
      </w:pPr>
      <w:r>
        <w:rPr>
          <w:rFonts w:hint="eastAsia"/>
        </w:rPr>
        <w:t>表</w:t>
      </w:r>
      <w:r>
        <w:rPr>
          <w:rFonts w:hint="eastAsia"/>
        </w:rPr>
        <w:t xml:space="preserve">11-5 </w:t>
      </w:r>
      <w:r>
        <w:rPr>
          <w:rFonts w:hint="eastAsia"/>
        </w:rPr>
        <w:t>现金流量表主要项目情况表</w:t>
      </w:r>
    </w:p>
    <w:tbl>
      <w:tblPr>
        <w:tblW w:w="7794"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36"/>
        <w:gridCol w:w="2016"/>
        <w:gridCol w:w="1926"/>
        <w:gridCol w:w="1116"/>
      </w:tblGrid>
      <w:tr w:rsidR="00CE0BF7" w:rsidRPr="00CE0BF7" w:rsidTr="00CE0BF7">
        <w:trPr>
          <w:trHeight w:val="270"/>
        </w:trPr>
        <w:tc>
          <w:tcPr>
            <w:tcW w:w="273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项目</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2014年</w:t>
            </w:r>
          </w:p>
        </w:tc>
        <w:tc>
          <w:tcPr>
            <w:tcW w:w="192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2013年</w:t>
            </w:r>
          </w:p>
        </w:tc>
        <w:tc>
          <w:tcPr>
            <w:tcW w:w="11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增（减）</w:t>
            </w:r>
          </w:p>
        </w:tc>
      </w:tr>
      <w:tr w:rsidR="00CE0BF7" w:rsidRPr="00CE0BF7" w:rsidTr="00CE0BF7">
        <w:trPr>
          <w:trHeight w:val="270"/>
        </w:trPr>
        <w:tc>
          <w:tcPr>
            <w:tcW w:w="273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经营活动产生的现金流量净额</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41,724,819,113.36</w:t>
            </w:r>
          </w:p>
        </w:tc>
        <w:tc>
          <w:tcPr>
            <w:tcW w:w="192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1,923,868,889.89</w:t>
            </w:r>
          </w:p>
        </w:tc>
        <w:tc>
          <w:tcPr>
            <w:tcW w:w="11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2068.80%</w:t>
            </w:r>
          </w:p>
        </w:tc>
      </w:tr>
      <w:tr w:rsidR="00CE0BF7" w:rsidRPr="00CE0BF7" w:rsidTr="00CE0BF7">
        <w:trPr>
          <w:trHeight w:val="270"/>
        </w:trPr>
        <w:tc>
          <w:tcPr>
            <w:tcW w:w="273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投资活动产生的现金流量净额</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-3,487,370,938.83</w:t>
            </w:r>
          </w:p>
        </w:tc>
        <w:tc>
          <w:tcPr>
            <w:tcW w:w="192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-7,954,417,194.85</w:t>
            </w:r>
          </w:p>
        </w:tc>
        <w:tc>
          <w:tcPr>
            <w:tcW w:w="11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-56.16%</w:t>
            </w:r>
          </w:p>
        </w:tc>
      </w:tr>
      <w:tr w:rsidR="00CE0BF7" w:rsidRPr="00CE0BF7" w:rsidTr="00CE0BF7">
        <w:trPr>
          <w:trHeight w:val="270"/>
        </w:trPr>
        <w:tc>
          <w:tcPr>
            <w:tcW w:w="273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筹资活动产生的现金流量净额</w:t>
            </w:r>
          </w:p>
        </w:tc>
        <w:tc>
          <w:tcPr>
            <w:tcW w:w="20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-19,617,251,505.23</w:t>
            </w:r>
          </w:p>
        </w:tc>
        <w:tc>
          <w:tcPr>
            <w:tcW w:w="192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-2,057,645,577.99</w:t>
            </w:r>
          </w:p>
        </w:tc>
        <w:tc>
          <w:tcPr>
            <w:tcW w:w="1116" w:type="dxa"/>
            <w:shd w:val="clear" w:color="auto" w:fill="auto"/>
            <w:noWrap/>
            <w:vAlign w:val="center"/>
            <w:hideMark/>
          </w:tcPr>
          <w:p w:rsidR="00CE0BF7" w:rsidRPr="00CE0BF7" w:rsidRDefault="00CE0BF7" w:rsidP="00CE0BF7">
            <w:pPr>
              <w:widowControl/>
              <w:jc w:val="center"/>
              <w:rPr>
                <w:rFonts w:ascii="楷体" w:eastAsia="楷体" w:hAnsi="楷体" w:cs="宋体"/>
                <w:color w:val="000000"/>
                <w:kern w:val="0"/>
                <w:sz w:val="18"/>
                <w:szCs w:val="18"/>
              </w:rPr>
            </w:pPr>
            <w:r w:rsidRPr="00CE0BF7">
              <w:rPr>
                <w:rFonts w:ascii="楷体" w:eastAsia="楷体" w:hAnsi="楷体" w:cs="宋体" w:hint="eastAsia"/>
                <w:color w:val="000000"/>
                <w:kern w:val="0"/>
                <w:sz w:val="18"/>
                <w:szCs w:val="18"/>
              </w:rPr>
              <w:t>853.38%</w:t>
            </w:r>
          </w:p>
        </w:tc>
      </w:tr>
    </w:tbl>
    <w:p w:rsidR="00CE0BF7" w:rsidRPr="00CE0BF7" w:rsidRDefault="00CE0BF7" w:rsidP="00CE0BF7">
      <w:pPr>
        <w:ind w:firstLineChars="200" w:firstLine="420"/>
      </w:pPr>
      <w:r>
        <w:rPr>
          <w:rFonts w:hint="eastAsia"/>
        </w:rPr>
        <w:t>从表</w:t>
      </w:r>
      <w:r>
        <w:rPr>
          <w:rFonts w:hint="eastAsia"/>
        </w:rPr>
        <w:t>11-5</w:t>
      </w:r>
      <w:r>
        <w:rPr>
          <w:rFonts w:hint="eastAsia"/>
        </w:rPr>
        <w:t>可以看出，</w:t>
      </w:r>
      <w:r>
        <w:rPr>
          <w:rFonts w:hint="eastAsia"/>
        </w:rPr>
        <w:t>2014</w:t>
      </w:r>
      <w:r>
        <w:rPr>
          <w:rFonts w:hint="eastAsia"/>
        </w:rPr>
        <w:t>年经营活动产生的现金流量净额大幅增加，经营活动产生现金流量的能力增强。同时，公司对外投资活动产生的现金流量净额减少，结合公司现金流量表，</w:t>
      </w:r>
      <w:r>
        <w:rPr>
          <w:rFonts w:hint="eastAsia"/>
        </w:rPr>
        <w:t>购建固定资产、无形资产和其他长期资产</w:t>
      </w:r>
      <w:r>
        <w:rPr>
          <w:rFonts w:hint="eastAsia"/>
        </w:rPr>
        <w:t>、</w:t>
      </w:r>
      <w:r>
        <w:rPr>
          <w:rFonts w:hint="eastAsia"/>
        </w:rPr>
        <w:t>所支付的现金</w:t>
      </w:r>
      <w:r>
        <w:rPr>
          <w:rFonts w:hint="eastAsia"/>
        </w:rPr>
        <w:t>以及投资活动支付的现金减少，表明</w:t>
      </w:r>
      <w:r>
        <w:rPr>
          <w:rFonts w:hint="eastAsia"/>
        </w:rPr>
        <w:t>2014</w:t>
      </w:r>
      <w:r>
        <w:rPr>
          <w:rFonts w:hint="eastAsia"/>
        </w:rPr>
        <w:t>年，对外投资活动减少。筹资活动产生的现金流量净额同比增加了</w:t>
      </w:r>
      <w:r>
        <w:rPr>
          <w:rFonts w:hint="eastAsia"/>
        </w:rPr>
        <w:t>853.38%</w:t>
      </w:r>
      <w:r>
        <w:rPr>
          <w:rFonts w:hint="eastAsia"/>
        </w:rPr>
        <w:t>，结合公司现金流量表，筹资活动现金流入大幅度减少，导致筹资活动产生的现金流量净额同比增加。</w:t>
      </w:r>
    </w:p>
    <w:p w:rsidR="00EC055A" w:rsidRPr="00CE0BF7" w:rsidRDefault="00EC055A" w:rsidP="00CE0BF7">
      <w:pPr>
        <w:pStyle w:val="3"/>
        <w:spacing w:before="0" w:after="0" w:line="240" w:lineRule="auto"/>
        <w:ind w:firstLineChars="200" w:firstLine="422"/>
        <w:rPr>
          <w:rFonts w:ascii="宋体" w:eastAsia="宋体" w:hAnsi="宋体" w:cs="Times New Roman"/>
          <w:sz w:val="21"/>
          <w:szCs w:val="21"/>
        </w:rPr>
      </w:pPr>
      <w:r w:rsidRPr="00CE0BF7">
        <w:rPr>
          <w:rFonts w:ascii="宋体" w:eastAsia="宋体" w:hAnsi="宋体" w:cs="Times New Roman" w:hint="eastAsia"/>
          <w:sz w:val="21"/>
          <w:szCs w:val="21"/>
        </w:rPr>
        <w:t>6.对公司的财务报表进行综合评价</w:t>
      </w:r>
    </w:p>
    <w:p w:rsidR="00EC055A" w:rsidRDefault="00CE0BF7">
      <w:r>
        <w:rPr>
          <w:rFonts w:hint="eastAsia"/>
        </w:rPr>
        <w:t xml:space="preserve">    </w:t>
      </w:r>
      <w:r>
        <w:rPr>
          <w:rFonts w:hint="eastAsia"/>
        </w:rPr>
        <w:t>主要采用杜邦分析法对万科近三年的财务报表进行分析。万科</w:t>
      </w:r>
      <w:r>
        <w:rPr>
          <w:rFonts w:hint="eastAsia"/>
        </w:rPr>
        <w:t>2012-2014</w:t>
      </w:r>
      <w:r>
        <w:rPr>
          <w:rFonts w:hint="eastAsia"/>
        </w:rPr>
        <w:t>年杜邦</w:t>
      </w:r>
      <w:r w:rsidRPr="00037450">
        <w:rPr>
          <w:rFonts w:hint="eastAsia"/>
        </w:rPr>
        <w:t>财务分析指标体系图如图</w:t>
      </w:r>
      <w:r w:rsidRPr="00037450">
        <w:rPr>
          <w:rFonts w:hint="eastAsia"/>
        </w:rPr>
        <w:t>11-</w:t>
      </w:r>
      <w:r>
        <w:rPr>
          <w:rFonts w:hint="eastAsia"/>
        </w:rPr>
        <w:t>1</w:t>
      </w:r>
      <w:r w:rsidRPr="00037450">
        <w:rPr>
          <w:rFonts w:hint="eastAsia"/>
        </w:rPr>
        <w:t>所示。</w:t>
      </w:r>
    </w:p>
    <w:p w:rsidR="00CE0BF7" w:rsidRDefault="00EC055A" w:rsidP="00CE0BF7">
      <w:pPr>
        <w:keepNext/>
        <w:rPr>
          <w:rFonts w:hint="eastAsia"/>
        </w:rPr>
      </w:pPr>
      <w:r w:rsidRPr="00037450">
        <w:rPr>
          <w:rFonts w:hint="eastAsia"/>
          <w:noProof/>
        </w:rPr>
        <w:drawing>
          <wp:inline distT="0" distB="0" distL="0" distR="0" wp14:anchorId="68A777EA" wp14:editId="7BB043F7">
            <wp:extent cx="5238750" cy="3756025"/>
            <wp:effectExtent l="19050" t="0" r="19050" b="0"/>
            <wp:docPr id="4"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EC055A" w:rsidRDefault="00CE0BF7" w:rsidP="00CE0BF7">
      <w:pPr>
        <w:pStyle w:val="a3"/>
        <w:jc w:val="center"/>
        <w:rPr>
          <w:rFonts w:hint="eastAsia"/>
        </w:rPr>
      </w:pPr>
      <w:r w:rsidRPr="00DB2560">
        <w:rPr>
          <w:rFonts w:hint="eastAsia"/>
        </w:rPr>
        <w:t>图</w:t>
      </w:r>
      <w:r>
        <w:rPr>
          <w:rFonts w:hint="eastAsia"/>
        </w:rPr>
        <w:t>11-1</w:t>
      </w:r>
      <w:r w:rsidRPr="00DB2560">
        <w:rPr>
          <w:rFonts w:hint="eastAsia"/>
        </w:rPr>
        <w:t xml:space="preserve"> </w:t>
      </w:r>
      <w:r>
        <w:rPr>
          <w:rFonts w:hint="eastAsia"/>
        </w:rPr>
        <w:t>万科</w:t>
      </w:r>
      <w:r w:rsidRPr="00DB2560">
        <w:rPr>
          <w:rFonts w:hint="eastAsia"/>
        </w:rPr>
        <w:t>2012-2014</w:t>
      </w:r>
      <w:r w:rsidRPr="00DB2560">
        <w:rPr>
          <w:rFonts w:hint="eastAsia"/>
        </w:rPr>
        <w:t>年杜邦财务分析指标体系</w:t>
      </w:r>
    </w:p>
    <w:p w:rsidR="00CE0BF7" w:rsidRPr="00037450" w:rsidRDefault="00CE0BF7" w:rsidP="00CE0BF7">
      <w:pPr>
        <w:ind w:firstLineChars="200" w:firstLine="420"/>
      </w:pPr>
      <w:r w:rsidRPr="00037450">
        <w:rPr>
          <w:rFonts w:hint="eastAsia"/>
        </w:rPr>
        <w:lastRenderedPageBreak/>
        <w:t>从图</w:t>
      </w:r>
      <w:r>
        <w:rPr>
          <w:rFonts w:hint="eastAsia"/>
        </w:rPr>
        <w:t>11-1</w:t>
      </w:r>
      <w:r w:rsidRPr="00037450">
        <w:rPr>
          <w:rFonts w:hint="eastAsia"/>
        </w:rPr>
        <w:t>可以看出，</w:t>
      </w:r>
      <w:r>
        <w:rPr>
          <w:rFonts w:hint="eastAsia"/>
        </w:rPr>
        <w:t>万科</w:t>
      </w:r>
      <w:r w:rsidRPr="00037450">
        <w:rPr>
          <w:rFonts w:hint="eastAsia"/>
        </w:rPr>
        <w:t>近三年</w:t>
      </w:r>
      <w:r>
        <w:rPr>
          <w:rFonts w:hint="eastAsia"/>
        </w:rPr>
        <w:t>的权益净利率不断降低，总资产净利率和权益乘数也不断降低。权益净利率从</w:t>
      </w:r>
      <w:r>
        <w:rPr>
          <w:rFonts w:hint="eastAsia"/>
        </w:rPr>
        <w:t>19.07%</w:t>
      </w:r>
      <w:r>
        <w:rPr>
          <w:rFonts w:hint="eastAsia"/>
        </w:rPr>
        <w:t>下降到</w:t>
      </w:r>
      <w:r>
        <w:rPr>
          <w:rFonts w:hint="eastAsia"/>
        </w:rPr>
        <w:t>16.64%</w:t>
      </w:r>
      <w:r>
        <w:rPr>
          <w:rFonts w:hint="eastAsia"/>
        </w:rPr>
        <w:t>，权益乘数从</w:t>
      </w:r>
      <w:r>
        <w:rPr>
          <w:rFonts w:hint="eastAsia"/>
        </w:rPr>
        <w:t>4.61</w:t>
      </w:r>
      <w:r>
        <w:rPr>
          <w:rFonts w:hint="eastAsia"/>
        </w:rPr>
        <w:t>下降到</w:t>
      </w:r>
      <w:r>
        <w:rPr>
          <w:rFonts w:hint="eastAsia"/>
        </w:rPr>
        <w:t>4.39</w:t>
      </w:r>
      <w:r>
        <w:rPr>
          <w:rFonts w:hint="eastAsia"/>
        </w:rPr>
        <w:t>，降低了公司的财务杠杆。</w:t>
      </w:r>
    </w:p>
    <w:p w:rsidR="00CE0BF7" w:rsidRPr="00CE0BF7" w:rsidRDefault="00CE0BF7" w:rsidP="00CE0BF7">
      <w:pPr>
        <w:ind w:firstLineChars="200" w:firstLine="420"/>
      </w:pPr>
      <w:proofErr w:type="gramStart"/>
      <w:r w:rsidRPr="00037450">
        <w:rPr>
          <w:rFonts w:hint="eastAsia"/>
        </w:rPr>
        <w:t>分析总</w:t>
      </w:r>
      <w:proofErr w:type="gramEnd"/>
      <w:r w:rsidRPr="00037450">
        <w:rPr>
          <w:rFonts w:hint="eastAsia"/>
        </w:rPr>
        <w:t>资产净利率可知，</w:t>
      </w:r>
      <w:r>
        <w:rPr>
          <w:rFonts w:hint="eastAsia"/>
        </w:rPr>
        <w:t>销售净利率不断降低，表明公司销售收入的盈利能力下降，同时，资产周转率不断上升，表明公司总资产的周转能力不断下降。总体来看，公司的盈利能力呈减弱的趋势。</w:t>
      </w:r>
    </w:p>
    <w:sectPr w:rsidR="00CE0BF7" w:rsidRPr="00CE0B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55A"/>
    <w:rsid w:val="00017FF8"/>
    <w:rsid w:val="00024839"/>
    <w:rsid w:val="000340B4"/>
    <w:rsid w:val="00034755"/>
    <w:rsid w:val="000356D2"/>
    <w:rsid w:val="00046FA5"/>
    <w:rsid w:val="00060DCA"/>
    <w:rsid w:val="00084133"/>
    <w:rsid w:val="000C0733"/>
    <w:rsid w:val="000D6E7E"/>
    <w:rsid w:val="000E16A1"/>
    <w:rsid w:val="000E7A65"/>
    <w:rsid w:val="000F0287"/>
    <w:rsid w:val="001150FB"/>
    <w:rsid w:val="00132FA4"/>
    <w:rsid w:val="00141AD8"/>
    <w:rsid w:val="0018156D"/>
    <w:rsid w:val="00186458"/>
    <w:rsid w:val="00197302"/>
    <w:rsid w:val="001A6F13"/>
    <w:rsid w:val="001B304D"/>
    <w:rsid w:val="001B78D1"/>
    <w:rsid w:val="001E76AE"/>
    <w:rsid w:val="001F1ED5"/>
    <w:rsid w:val="001F4388"/>
    <w:rsid w:val="002001BB"/>
    <w:rsid w:val="00207900"/>
    <w:rsid w:val="002700DE"/>
    <w:rsid w:val="00280C7F"/>
    <w:rsid w:val="00290E30"/>
    <w:rsid w:val="00294F17"/>
    <w:rsid w:val="002A652D"/>
    <w:rsid w:val="002C7260"/>
    <w:rsid w:val="002C774C"/>
    <w:rsid w:val="002E3016"/>
    <w:rsid w:val="002F570A"/>
    <w:rsid w:val="002F5EDE"/>
    <w:rsid w:val="003017F4"/>
    <w:rsid w:val="0030432A"/>
    <w:rsid w:val="00313D7E"/>
    <w:rsid w:val="00346F63"/>
    <w:rsid w:val="00357CB0"/>
    <w:rsid w:val="003767D1"/>
    <w:rsid w:val="00382996"/>
    <w:rsid w:val="003932CA"/>
    <w:rsid w:val="003B50D9"/>
    <w:rsid w:val="003C333F"/>
    <w:rsid w:val="00407A46"/>
    <w:rsid w:val="0041789F"/>
    <w:rsid w:val="00435AB0"/>
    <w:rsid w:val="0044677B"/>
    <w:rsid w:val="00471365"/>
    <w:rsid w:val="00472C90"/>
    <w:rsid w:val="00483ED2"/>
    <w:rsid w:val="00485727"/>
    <w:rsid w:val="004A6054"/>
    <w:rsid w:val="004B16A9"/>
    <w:rsid w:val="004C5350"/>
    <w:rsid w:val="004E40C8"/>
    <w:rsid w:val="00504BE0"/>
    <w:rsid w:val="00510FD2"/>
    <w:rsid w:val="00520F28"/>
    <w:rsid w:val="005655B5"/>
    <w:rsid w:val="00575818"/>
    <w:rsid w:val="00582D97"/>
    <w:rsid w:val="00587B8F"/>
    <w:rsid w:val="005932DB"/>
    <w:rsid w:val="005A724A"/>
    <w:rsid w:val="00611E00"/>
    <w:rsid w:val="00615BF6"/>
    <w:rsid w:val="00620766"/>
    <w:rsid w:val="0063238A"/>
    <w:rsid w:val="00686C03"/>
    <w:rsid w:val="006D26CA"/>
    <w:rsid w:val="006D52DD"/>
    <w:rsid w:val="006D5E26"/>
    <w:rsid w:val="006F7CDC"/>
    <w:rsid w:val="00744809"/>
    <w:rsid w:val="00746E67"/>
    <w:rsid w:val="00765CCF"/>
    <w:rsid w:val="00772E96"/>
    <w:rsid w:val="007815F5"/>
    <w:rsid w:val="007839CD"/>
    <w:rsid w:val="007A34E1"/>
    <w:rsid w:val="007A7FBA"/>
    <w:rsid w:val="007B67EF"/>
    <w:rsid w:val="007C6BAB"/>
    <w:rsid w:val="007C7906"/>
    <w:rsid w:val="007D2191"/>
    <w:rsid w:val="007E4E8D"/>
    <w:rsid w:val="007E5EED"/>
    <w:rsid w:val="007F7387"/>
    <w:rsid w:val="00802FFD"/>
    <w:rsid w:val="0082654E"/>
    <w:rsid w:val="00854775"/>
    <w:rsid w:val="008639BA"/>
    <w:rsid w:val="00897757"/>
    <w:rsid w:val="008A0381"/>
    <w:rsid w:val="008B6DE1"/>
    <w:rsid w:val="008E3746"/>
    <w:rsid w:val="008F5F1D"/>
    <w:rsid w:val="0090259D"/>
    <w:rsid w:val="00923E89"/>
    <w:rsid w:val="00971579"/>
    <w:rsid w:val="00972C93"/>
    <w:rsid w:val="009751FE"/>
    <w:rsid w:val="009814C7"/>
    <w:rsid w:val="009B43C4"/>
    <w:rsid w:val="009E2554"/>
    <w:rsid w:val="009E6302"/>
    <w:rsid w:val="00A13BC5"/>
    <w:rsid w:val="00A91345"/>
    <w:rsid w:val="00AA1D76"/>
    <w:rsid w:val="00AC02EA"/>
    <w:rsid w:val="00B02169"/>
    <w:rsid w:val="00B030F9"/>
    <w:rsid w:val="00B43C74"/>
    <w:rsid w:val="00B61F91"/>
    <w:rsid w:val="00B832D9"/>
    <w:rsid w:val="00BA79A9"/>
    <w:rsid w:val="00BB3E2E"/>
    <w:rsid w:val="00BC0272"/>
    <w:rsid w:val="00BC3E3A"/>
    <w:rsid w:val="00BC766A"/>
    <w:rsid w:val="00BD111F"/>
    <w:rsid w:val="00C10906"/>
    <w:rsid w:val="00C31193"/>
    <w:rsid w:val="00C66963"/>
    <w:rsid w:val="00C7386D"/>
    <w:rsid w:val="00C76820"/>
    <w:rsid w:val="00CA119B"/>
    <w:rsid w:val="00CA52D9"/>
    <w:rsid w:val="00CB1D93"/>
    <w:rsid w:val="00CB6639"/>
    <w:rsid w:val="00CD580A"/>
    <w:rsid w:val="00CE0BF7"/>
    <w:rsid w:val="00CE605C"/>
    <w:rsid w:val="00CF6789"/>
    <w:rsid w:val="00D14425"/>
    <w:rsid w:val="00D212DA"/>
    <w:rsid w:val="00D3384E"/>
    <w:rsid w:val="00D3483B"/>
    <w:rsid w:val="00D677D3"/>
    <w:rsid w:val="00D778B0"/>
    <w:rsid w:val="00D80559"/>
    <w:rsid w:val="00D81528"/>
    <w:rsid w:val="00D9263D"/>
    <w:rsid w:val="00DB3C45"/>
    <w:rsid w:val="00DD40EF"/>
    <w:rsid w:val="00DE35AD"/>
    <w:rsid w:val="00DF3026"/>
    <w:rsid w:val="00E11A82"/>
    <w:rsid w:val="00E91D7E"/>
    <w:rsid w:val="00EC055A"/>
    <w:rsid w:val="00EC3580"/>
    <w:rsid w:val="00ED2F6E"/>
    <w:rsid w:val="00EE05C5"/>
    <w:rsid w:val="00EE05FE"/>
    <w:rsid w:val="00EF6F0B"/>
    <w:rsid w:val="00F41198"/>
    <w:rsid w:val="00F860A5"/>
    <w:rsid w:val="00F87291"/>
    <w:rsid w:val="00F9333E"/>
    <w:rsid w:val="00FC02E2"/>
    <w:rsid w:val="00FC1826"/>
    <w:rsid w:val="00FE66AC"/>
    <w:rsid w:val="00FF60B5"/>
  </w:rsids>
  <m:mathPr>
    <m:mathFont m:val="Cambria Math"/>
    <m:brkBin m:val="before"/>
    <m:brkBinSub m:val="--"/>
    <m:smallFrac m:val="0"/>
    <m:dispDef/>
    <m:lMargin m:val="0"/>
    <m:rMargin m:val="0"/>
    <m:defJc m:val="left"/>
    <m:wrapIndent m:val="0"/>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55A"/>
    <w:pPr>
      <w:widowControl w:val="0"/>
      <w:jc w:val="both"/>
    </w:pPr>
  </w:style>
  <w:style w:type="paragraph" w:styleId="1">
    <w:name w:val="heading 1"/>
    <w:basedOn w:val="a"/>
    <w:next w:val="a"/>
    <w:link w:val="1Char"/>
    <w:uiPriority w:val="9"/>
    <w:qFormat/>
    <w:rsid w:val="000F02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F02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大家网,topsage.com"/>
    <w:basedOn w:val="a"/>
    <w:next w:val="a"/>
    <w:link w:val="3Char"/>
    <w:unhideWhenUsed/>
    <w:qFormat/>
    <w:rsid w:val="000F028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F028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F028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F028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F028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F028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F028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0287"/>
    <w:rPr>
      <w:b/>
      <w:bCs/>
      <w:kern w:val="44"/>
      <w:sz w:val="44"/>
      <w:szCs w:val="44"/>
    </w:rPr>
  </w:style>
  <w:style w:type="character" w:customStyle="1" w:styleId="2Char">
    <w:name w:val="标题 2 Char"/>
    <w:basedOn w:val="a0"/>
    <w:link w:val="2"/>
    <w:uiPriority w:val="9"/>
    <w:semiHidden/>
    <w:rsid w:val="000F0287"/>
    <w:rPr>
      <w:rFonts w:asciiTheme="majorHAnsi" w:eastAsiaTheme="majorEastAsia" w:hAnsiTheme="majorHAnsi" w:cstheme="majorBidi"/>
      <w:b/>
      <w:bCs/>
      <w:sz w:val="32"/>
      <w:szCs w:val="32"/>
    </w:rPr>
  </w:style>
  <w:style w:type="character" w:customStyle="1" w:styleId="3Char">
    <w:name w:val="标题 3 Char"/>
    <w:aliases w:val="大家网 Char,topsage.com Char"/>
    <w:basedOn w:val="a0"/>
    <w:link w:val="3"/>
    <w:rsid w:val="000F0287"/>
    <w:rPr>
      <w:b/>
      <w:bCs/>
      <w:sz w:val="32"/>
      <w:szCs w:val="32"/>
    </w:rPr>
  </w:style>
  <w:style w:type="character" w:customStyle="1" w:styleId="4Char">
    <w:name w:val="标题 4 Char"/>
    <w:basedOn w:val="a0"/>
    <w:link w:val="4"/>
    <w:uiPriority w:val="9"/>
    <w:semiHidden/>
    <w:rsid w:val="000F028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F0287"/>
    <w:rPr>
      <w:b/>
      <w:bCs/>
      <w:sz w:val="28"/>
      <w:szCs w:val="28"/>
    </w:rPr>
  </w:style>
  <w:style w:type="character" w:customStyle="1" w:styleId="6Char">
    <w:name w:val="标题 6 Char"/>
    <w:basedOn w:val="a0"/>
    <w:link w:val="6"/>
    <w:uiPriority w:val="9"/>
    <w:semiHidden/>
    <w:rsid w:val="000F028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0F0287"/>
    <w:rPr>
      <w:b/>
      <w:bCs/>
      <w:sz w:val="24"/>
      <w:szCs w:val="24"/>
    </w:rPr>
  </w:style>
  <w:style w:type="character" w:customStyle="1" w:styleId="8Char">
    <w:name w:val="标题 8 Char"/>
    <w:basedOn w:val="a0"/>
    <w:link w:val="8"/>
    <w:uiPriority w:val="9"/>
    <w:semiHidden/>
    <w:rsid w:val="000F0287"/>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0F0287"/>
    <w:rPr>
      <w:rFonts w:asciiTheme="majorHAnsi" w:eastAsiaTheme="majorEastAsia" w:hAnsiTheme="majorHAnsi" w:cstheme="majorBidi"/>
      <w:szCs w:val="21"/>
    </w:rPr>
  </w:style>
  <w:style w:type="paragraph" w:styleId="a3">
    <w:name w:val="caption"/>
    <w:basedOn w:val="a"/>
    <w:next w:val="a"/>
    <w:uiPriority w:val="35"/>
    <w:unhideWhenUsed/>
    <w:qFormat/>
    <w:rsid w:val="000F0287"/>
    <w:rPr>
      <w:rFonts w:asciiTheme="majorHAnsi" w:eastAsia="黑体" w:hAnsiTheme="majorHAnsi" w:cstheme="majorBidi"/>
      <w:sz w:val="20"/>
      <w:szCs w:val="20"/>
    </w:rPr>
  </w:style>
  <w:style w:type="paragraph" w:styleId="a4">
    <w:name w:val="Title"/>
    <w:basedOn w:val="a"/>
    <w:next w:val="a"/>
    <w:link w:val="Char"/>
    <w:uiPriority w:val="10"/>
    <w:qFormat/>
    <w:rsid w:val="000F028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0F0287"/>
    <w:rPr>
      <w:rFonts w:asciiTheme="majorHAnsi" w:eastAsia="宋体" w:hAnsiTheme="majorHAnsi" w:cstheme="majorBidi"/>
      <w:b/>
      <w:bCs/>
      <w:sz w:val="32"/>
      <w:szCs w:val="32"/>
    </w:rPr>
  </w:style>
  <w:style w:type="paragraph" w:styleId="a5">
    <w:name w:val="Subtitle"/>
    <w:basedOn w:val="a"/>
    <w:next w:val="a"/>
    <w:link w:val="Char0"/>
    <w:uiPriority w:val="11"/>
    <w:qFormat/>
    <w:rsid w:val="000F028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0F0287"/>
    <w:rPr>
      <w:rFonts w:asciiTheme="majorHAnsi" w:eastAsia="宋体" w:hAnsiTheme="majorHAnsi" w:cstheme="majorBidi"/>
      <w:b/>
      <w:bCs/>
      <w:kern w:val="28"/>
      <w:sz w:val="32"/>
      <w:szCs w:val="32"/>
    </w:rPr>
  </w:style>
  <w:style w:type="character" w:styleId="a6">
    <w:name w:val="Strong"/>
    <w:uiPriority w:val="22"/>
    <w:qFormat/>
    <w:rsid w:val="000F0287"/>
    <w:rPr>
      <w:b/>
      <w:bCs/>
    </w:rPr>
  </w:style>
  <w:style w:type="character" w:styleId="a7">
    <w:name w:val="Emphasis"/>
    <w:uiPriority w:val="20"/>
    <w:qFormat/>
    <w:rsid w:val="000F0287"/>
    <w:rPr>
      <w:i/>
      <w:iCs/>
    </w:rPr>
  </w:style>
  <w:style w:type="paragraph" w:styleId="a8">
    <w:name w:val="No Spacing"/>
    <w:basedOn w:val="a"/>
    <w:link w:val="Char1"/>
    <w:uiPriority w:val="1"/>
    <w:qFormat/>
    <w:rsid w:val="000F0287"/>
  </w:style>
  <w:style w:type="character" w:customStyle="1" w:styleId="Char1">
    <w:name w:val="无间隔 Char"/>
    <w:basedOn w:val="a0"/>
    <w:link w:val="a8"/>
    <w:uiPriority w:val="1"/>
    <w:rsid w:val="000F0287"/>
  </w:style>
  <w:style w:type="paragraph" w:styleId="a9">
    <w:name w:val="List Paragraph"/>
    <w:basedOn w:val="a"/>
    <w:uiPriority w:val="34"/>
    <w:qFormat/>
    <w:rsid w:val="000F0287"/>
    <w:pPr>
      <w:ind w:firstLineChars="200" w:firstLine="420"/>
    </w:pPr>
  </w:style>
  <w:style w:type="paragraph" w:styleId="aa">
    <w:name w:val="Quote"/>
    <w:basedOn w:val="a"/>
    <w:next w:val="a"/>
    <w:link w:val="Char2"/>
    <w:uiPriority w:val="29"/>
    <w:qFormat/>
    <w:rsid w:val="000F0287"/>
    <w:rPr>
      <w:i/>
      <w:iCs/>
      <w:color w:val="000000" w:themeColor="text1"/>
    </w:rPr>
  </w:style>
  <w:style w:type="character" w:customStyle="1" w:styleId="Char2">
    <w:name w:val="引用 Char"/>
    <w:basedOn w:val="a0"/>
    <w:link w:val="aa"/>
    <w:uiPriority w:val="29"/>
    <w:rsid w:val="000F0287"/>
    <w:rPr>
      <w:i/>
      <w:iCs/>
      <w:color w:val="000000" w:themeColor="text1"/>
    </w:rPr>
  </w:style>
  <w:style w:type="paragraph" w:styleId="ab">
    <w:name w:val="Intense Quote"/>
    <w:basedOn w:val="a"/>
    <w:next w:val="a"/>
    <w:link w:val="Char3"/>
    <w:uiPriority w:val="30"/>
    <w:qFormat/>
    <w:rsid w:val="000F0287"/>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0F0287"/>
    <w:rPr>
      <w:b/>
      <w:bCs/>
      <w:i/>
      <w:iCs/>
      <w:color w:val="4F81BD" w:themeColor="accent1"/>
    </w:rPr>
  </w:style>
  <w:style w:type="character" w:styleId="ac">
    <w:name w:val="Subtle Emphasis"/>
    <w:uiPriority w:val="19"/>
    <w:qFormat/>
    <w:rsid w:val="000F0287"/>
    <w:rPr>
      <w:i/>
      <w:iCs/>
      <w:color w:val="808080" w:themeColor="text1" w:themeTint="7F"/>
    </w:rPr>
  </w:style>
  <w:style w:type="character" w:styleId="ad">
    <w:name w:val="Intense Emphasis"/>
    <w:uiPriority w:val="21"/>
    <w:qFormat/>
    <w:rsid w:val="000F0287"/>
    <w:rPr>
      <w:b/>
      <w:bCs/>
      <w:i/>
      <w:iCs/>
      <w:color w:val="4F81BD" w:themeColor="accent1"/>
    </w:rPr>
  </w:style>
  <w:style w:type="character" w:styleId="ae">
    <w:name w:val="Subtle Reference"/>
    <w:basedOn w:val="a0"/>
    <w:uiPriority w:val="31"/>
    <w:qFormat/>
    <w:rsid w:val="000F0287"/>
    <w:rPr>
      <w:smallCaps/>
      <w:color w:val="C0504D" w:themeColor="accent2"/>
      <w:u w:val="single"/>
    </w:rPr>
  </w:style>
  <w:style w:type="character" w:styleId="af">
    <w:name w:val="Intense Reference"/>
    <w:uiPriority w:val="32"/>
    <w:qFormat/>
    <w:rsid w:val="000F0287"/>
    <w:rPr>
      <w:b/>
      <w:bCs/>
      <w:smallCaps/>
      <w:color w:val="C0504D" w:themeColor="accent2"/>
      <w:spacing w:val="5"/>
      <w:u w:val="single"/>
    </w:rPr>
  </w:style>
  <w:style w:type="character" w:styleId="af0">
    <w:name w:val="Book Title"/>
    <w:uiPriority w:val="33"/>
    <w:qFormat/>
    <w:rsid w:val="000F0287"/>
    <w:rPr>
      <w:b/>
      <w:bCs/>
      <w:smallCaps/>
      <w:spacing w:val="5"/>
    </w:rPr>
  </w:style>
  <w:style w:type="paragraph" w:styleId="TOC">
    <w:name w:val="TOC Heading"/>
    <w:basedOn w:val="1"/>
    <w:next w:val="a"/>
    <w:uiPriority w:val="39"/>
    <w:semiHidden/>
    <w:unhideWhenUsed/>
    <w:qFormat/>
    <w:rsid w:val="000F0287"/>
    <w:pPr>
      <w:outlineLvl w:val="9"/>
    </w:pPr>
  </w:style>
  <w:style w:type="paragraph" w:styleId="af1">
    <w:name w:val="Balloon Text"/>
    <w:basedOn w:val="a"/>
    <w:link w:val="Char4"/>
    <w:uiPriority w:val="99"/>
    <w:semiHidden/>
    <w:unhideWhenUsed/>
    <w:rsid w:val="00EC055A"/>
    <w:rPr>
      <w:sz w:val="18"/>
      <w:szCs w:val="18"/>
    </w:rPr>
  </w:style>
  <w:style w:type="character" w:customStyle="1" w:styleId="Char4">
    <w:name w:val="批注框文本 Char"/>
    <w:basedOn w:val="a0"/>
    <w:link w:val="af1"/>
    <w:uiPriority w:val="99"/>
    <w:semiHidden/>
    <w:rsid w:val="00EC05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55A"/>
    <w:pPr>
      <w:widowControl w:val="0"/>
      <w:jc w:val="both"/>
    </w:pPr>
  </w:style>
  <w:style w:type="paragraph" w:styleId="1">
    <w:name w:val="heading 1"/>
    <w:basedOn w:val="a"/>
    <w:next w:val="a"/>
    <w:link w:val="1Char"/>
    <w:uiPriority w:val="9"/>
    <w:qFormat/>
    <w:rsid w:val="000F02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F02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大家网,topsage.com"/>
    <w:basedOn w:val="a"/>
    <w:next w:val="a"/>
    <w:link w:val="3Char"/>
    <w:unhideWhenUsed/>
    <w:qFormat/>
    <w:rsid w:val="000F028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F028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F028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F028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F028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F028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F028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0287"/>
    <w:rPr>
      <w:b/>
      <w:bCs/>
      <w:kern w:val="44"/>
      <w:sz w:val="44"/>
      <w:szCs w:val="44"/>
    </w:rPr>
  </w:style>
  <w:style w:type="character" w:customStyle="1" w:styleId="2Char">
    <w:name w:val="标题 2 Char"/>
    <w:basedOn w:val="a0"/>
    <w:link w:val="2"/>
    <w:uiPriority w:val="9"/>
    <w:semiHidden/>
    <w:rsid w:val="000F0287"/>
    <w:rPr>
      <w:rFonts w:asciiTheme="majorHAnsi" w:eastAsiaTheme="majorEastAsia" w:hAnsiTheme="majorHAnsi" w:cstheme="majorBidi"/>
      <w:b/>
      <w:bCs/>
      <w:sz w:val="32"/>
      <w:szCs w:val="32"/>
    </w:rPr>
  </w:style>
  <w:style w:type="character" w:customStyle="1" w:styleId="3Char">
    <w:name w:val="标题 3 Char"/>
    <w:aliases w:val="大家网 Char,topsage.com Char"/>
    <w:basedOn w:val="a0"/>
    <w:link w:val="3"/>
    <w:rsid w:val="000F0287"/>
    <w:rPr>
      <w:b/>
      <w:bCs/>
      <w:sz w:val="32"/>
      <w:szCs w:val="32"/>
    </w:rPr>
  </w:style>
  <w:style w:type="character" w:customStyle="1" w:styleId="4Char">
    <w:name w:val="标题 4 Char"/>
    <w:basedOn w:val="a0"/>
    <w:link w:val="4"/>
    <w:uiPriority w:val="9"/>
    <w:semiHidden/>
    <w:rsid w:val="000F028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F0287"/>
    <w:rPr>
      <w:b/>
      <w:bCs/>
      <w:sz w:val="28"/>
      <w:szCs w:val="28"/>
    </w:rPr>
  </w:style>
  <w:style w:type="character" w:customStyle="1" w:styleId="6Char">
    <w:name w:val="标题 6 Char"/>
    <w:basedOn w:val="a0"/>
    <w:link w:val="6"/>
    <w:uiPriority w:val="9"/>
    <w:semiHidden/>
    <w:rsid w:val="000F028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0F0287"/>
    <w:rPr>
      <w:b/>
      <w:bCs/>
      <w:sz w:val="24"/>
      <w:szCs w:val="24"/>
    </w:rPr>
  </w:style>
  <w:style w:type="character" w:customStyle="1" w:styleId="8Char">
    <w:name w:val="标题 8 Char"/>
    <w:basedOn w:val="a0"/>
    <w:link w:val="8"/>
    <w:uiPriority w:val="9"/>
    <w:semiHidden/>
    <w:rsid w:val="000F0287"/>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0F0287"/>
    <w:rPr>
      <w:rFonts w:asciiTheme="majorHAnsi" w:eastAsiaTheme="majorEastAsia" w:hAnsiTheme="majorHAnsi" w:cstheme="majorBidi"/>
      <w:szCs w:val="21"/>
    </w:rPr>
  </w:style>
  <w:style w:type="paragraph" w:styleId="a3">
    <w:name w:val="caption"/>
    <w:basedOn w:val="a"/>
    <w:next w:val="a"/>
    <w:uiPriority w:val="35"/>
    <w:unhideWhenUsed/>
    <w:qFormat/>
    <w:rsid w:val="000F0287"/>
    <w:rPr>
      <w:rFonts w:asciiTheme="majorHAnsi" w:eastAsia="黑体" w:hAnsiTheme="majorHAnsi" w:cstheme="majorBidi"/>
      <w:sz w:val="20"/>
      <w:szCs w:val="20"/>
    </w:rPr>
  </w:style>
  <w:style w:type="paragraph" w:styleId="a4">
    <w:name w:val="Title"/>
    <w:basedOn w:val="a"/>
    <w:next w:val="a"/>
    <w:link w:val="Char"/>
    <w:uiPriority w:val="10"/>
    <w:qFormat/>
    <w:rsid w:val="000F028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0F0287"/>
    <w:rPr>
      <w:rFonts w:asciiTheme="majorHAnsi" w:eastAsia="宋体" w:hAnsiTheme="majorHAnsi" w:cstheme="majorBidi"/>
      <w:b/>
      <w:bCs/>
      <w:sz w:val="32"/>
      <w:szCs w:val="32"/>
    </w:rPr>
  </w:style>
  <w:style w:type="paragraph" w:styleId="a5">
    <w:name w:val="Subtitle"/>
    <w:basedOn w:val="a"/>
    <w:next w:val="a"/>
    <w:link w:val="Char0"/>
    <w:uiPriority w:val="11"/>
    <w:qFormat/>
    <w:rsid w:val="000F028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0F0287"/>
    <w:rPr>
      <w:rFonts w:asciiTheme="majorHAnsi" w:eastAsia="宋体" w:hAnsiTheme="majorHAnsi" w:cstheme="majorBidi"/>
      <w:b/>
      <w:bCs/>
      <w:kern w:val="28"/>
      <w:sz w:val="32"/>
      <w:szCs w:val="32"/>
    </w:rPr>
  </w:style>
  <w:style w:type="character" w:styleId="a6">
    <w:name w:val="Strong"/>
    <w:uiPriority w:val="22"/>
    <w:qFormat/>
    <w:rsid w:val="000F0287"/>
    <w:rPr>
      <w:b/>
      <w:bCs/>
    </w:rPr>
  </w:style>
  <w:style w:type="character" w:styleId="a7">
    <w:name w:val="Emphasis"/>
    <w:uiPriority w:val="20"/>
    <w:qFormat/>
    <w:rsid w:val="000F0287"/>
    <w:rPr>
      <w:i/>
      <w:iCs/>
    </w:rPr>
  </w:style>
  <w:style w:type="paragraph" w:styleId="a8">
    <w:name w:val="No Spacing"/>
    <w:basedOn w:val="a"/>
    <w:link w:val="Char1"/>
    <w:uiPriority w:val="1"/>
    <w:qFormat/>
    <w:rsid w:val="000F0287"/>
  </w:style>
  <w:style w:type="character" w:customStyle="1" w:styleId="Char1">
    <w:name w:val="无间隔 Char"/>
    <w:basedOn w:val="a0"/>
    <w:link w:val="a8"/>
    <w:uiPriority w:val="1"/>
    <w:rsid w:val="000F0287"/>
  </w:style>
  <w:style w:type="paragraph" w:styleId="a9">
    <w:name w:val="List Paragraph"/>
    <w:basedOn w:val="a"/>
    <w:uiPriority w:val="34"/>
    <w:qFormat/>
    <w:rsid w:val="000F0287"/>
    <w:pPr>
      <w:ind w:firstLineChars="200" w:firstLine="420"/>
    </w:pPr>
  </w:style>
  <w:style w:type="paragraph" w:styleId="aa">
    <w:name w:val="Quote"/>
    <w:basedOn w:val="a"/>
    <w:next w:val="a"/>
    <w:link w:val="Char2"/>
    <w:uiPriority w:val="29"/>
    <w:qFormat/>
    <w:rsid w:val="000F0287"/>
    <w:rPr>
      <w:i/>
      <w:iCs/>
      <w:color w:val="000000" w:themeColor="text1"/>
    </w:rPr>
  </w:style>
  <w:style w:type="character" w:customStyle="1" w:styleId="Char2">
    <w:name w:val="引用 Char"/>
    <w:basedOn w:val="a0"/>
    <w:link w:val="aa"/>
    <w:uiPriority w:val="29"/>
    <w:rsid w:val="000F0287"/>
    <w:rPr>
      <w:i/>
      <w:iCs/>
      <w:color w:val="000000" w:themeColor="text1"/>
    </w:rPr>
  </w:style>
  <w:style w:type="paragraph" w:styleId="ab">
    <w:name w:val="Intense Quote"/>
    <w:basedOn w:val="a"/>
    <w:next w:val="a"/>
    <w:link w:val="Char3"/>
    <w:uiPriority w:val="30"/>
    <w:qFormat/>
    <w:rsid w:val="000F0287"/>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0F0287"/>
    <w:rPr>
      <w:b/>
      <w:bCs/>
      <w:i/>
      <w:iCs/>
      <w:color w:val="4F81BD" w:themeColor="accent1"/>
    </w:rPr>
  </w:style>
  <w:style w:type="character" w:styleId="ac">
    <w:name w:val="Subtle Emphasis"/>
    <w:uiPriority w:val="19"/>
    <w:qFormat/>
    <w:rsid w:val="000F0287"/>
    <w:rPr>
      <w:i/>
      <w:iCs/>
      <w:color w:val="808080" w:themeColor="text1" w:themeTint="7F"/>
    </w:rPr>
  </w:style>
  <w:style w:type="character" w:styleId="ad">
    <w:name w:val="Intense Emphasis"/>
    <w:uiPriority w:val="21"/>
    <w:qFormat/>
    <w:rsid w:val="000F0287"/>
    <w:rPr>
      <w:b/>
      <w:bCs/>
      <w:i/>
      <w:iCs/>
      <w:color w:val="4F81BD" w:themeColor="accent1"/>
    </w:rPr>
  </w:style>
  <w:style w:type="character" w:styleId="ae">
    <w:name w:val="Subtle Reference"/>
    <w:basedOn w:val="a0"/>
    <w:uiPriority w:val="31"/>
    <w:qFormat/>
    <w:rsid w:val="000F0287"/>
    <w:rPr>
      <w:smallCaps/>
      <w:color w:val="C0504D" w:themeColor="accent2"/>
      <w:u w:val="single"/>
    </w:rPr>
  </w:style>
  <w:style w:type="character" w:styleId="af">
    <w:name w:val="Intense Reference"/>
    <w:uiPriority w:val="32"/>
    <w:qFormat/>
    <w:rsid w:val="000F0287"/>
    <w:rPr>
      <w:b/>
      <w:bCs/>
      <w:smallCaps/>
      <w:color w:val="C0504D" w:themeColor="accent2"/>
      <w:spacing w:val="5"/>
      <w:u w:val="single"/>
    </w:rPr>
  </w:style>
  <w:style w:type="character" w:styleId="af0">
    <w:name w:val="Book Title"/>
    <w:uiPriority w:val="33"/>
    <w:qFormat/>
    <w:rsid w:val="000F0287"/>
    <w:rPr>
      <w:b/>
      <w:bCs/>
      <w:smallCaps/>
      <w:spacing w:val="5"/>
    </w:rPr>
  </w:style>
  <w:style w:type="paragraph" w:styleId="TOC">
    <w:name w:val="TOC Heading"/>
    <w:basedOn w:val="1"/>
    <w:next w:val="a"/>
    <w:uiPriority w:val="39"/>
    <w:semiHidden/>
    <w:unhideWhenUsed/>
    <w:qFormat/>
    <w:rsid w:val="000F0287"/>
    <w:pPr>
      <w:outlineLvl w:val="9"/>
    </w:pPr>
  </w:style>
  <w:style w:type="paragraph" w:styleId="af1">
    <w:name w:val="Balloon Text"/>
    <w:basedOn w:val="a"/>
    <w:link w:val="Char4"/>
    <w:uiPriority w:val="99"/>
    <w:semiHidden/>
    <w:unhideWhenUsed/>
    <w:rsid w:val="00EC055A"/>
    <w:rPr>
      <w:sz w:val="18"/>
      <w:szCs w:val="18"/>
    </w:rPr>
  </w:style>
  <w:style w:type="character" w:customStyle="1" w:styleId="Char4">
    <w:name w:val="批注框文本 Char"/>
    <w:basedOn w:val="a0"/>
    <w:link w:val="af1"/>
    <w:uiPriority w:val="99"/>
    <w:semiHidden/>
    <w:rsid w:val="00EC05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40035">
      <w:bodyDiv w:val="1"/>
      <w:marLeft w:val="0"/>
      <w:marRight w:val="0"/>
      <w:marTop w:val="0"/>
      <w:marBottom w:val="0"/>
      <w:divBdr>
        <w:top w:val="none" w:sz="0" w:space="0" w:color="auto"/>
        <w:left w:val="none" w:sz="0" w:space="0" w:color="auto"/>
        <w:bottom w:val="none" w:sz="0" w:space="0" w:color="auto"/>
        <w:right w:val="none" w:sz="0" w:space="0" w:color="auto"/>
      </w:divBdr>
    </w:div>
    <w:div w:id="746419085">
      <w:bodyDiv w:val="1"/>
      <w:marLeft w:val="0"/>
      <w:marRight w:val="0"/>
      <w:marTop w:val="0"/>
      <w:marBottom w:val="0"/>
      <w:divBdr>
        <w:top w:val="none" w:sz="0" w:space="0" w:color="auto"/>
        <w:left w:val="none" w:sz="0" w:space="0" w:color="auto"/>
        <w:bottom w:val="none" w:sz="0" w:space="0" w:color="auto"/>
        <w:right w:val="none" w:sz="0" w:space="0" w:color="auto"/>
      </w:divBdr>
    </w:div>
    <w:div w:id="1207795692">
      <w:bodyDiv w:val="1"/>
      <w:marLeft w:val="0"/>
      <w:marRight w:val="0"/>
      <w:marTop w:val="0"/>
      <w:marBottom w:val="0"/>
      <w:divBdr>
        <w:top w:val="none" w:sz="0" w:space="0" w:color="auto"/>
        <w:left w:val="none" w:sz="0" w:space="0" w:color="auto"/>
        <w:bottom w:val="none" w:sz="0" w:space="0" w:color="auto"/>
        <w:right w:val="none" w:sz="0" w:space="0" w:color="auto"/>
      </w:divBdr>
    </w:div>
    <w:div w:id="1361859118">
      <w:bodyDiv w:val="1"/>
      <w:marLeft w:val="0"/>
      <w:marRight w:val="0"/>
      <w:marTop w:val="0"/>
      <w:marBottom w:val="0"/>
      <w:divBdr>
        <w:top w:val="none" w:sz="0" w:space="0" w:color="auto"/>
        <w:left w:val="none" w:sz="0" w:space="0" w:color="auto"/>
        <w:bottom w:val="none" w:sz="0" w:space="0" w:color="auto"/>
        <w:right w:val="none" w:sz="0" w:space="0" w:color="auto"/>
      </w:divBdr>
    </w:div>
    <w:div w:id="1367680812">
      <w:bodyDiv w:val="1"/>
      <w:marLeft w:val="0"/>
      <w:marRight w:val="0"/>
      <w:marTop w:val="0"/>
      <w:marBottom w:val="0"/>
      <w:divBdr>
        <w:top w:val="none" w:sz="0" w:space="0" w:color="auto"/>
        <w:left w:val="none" w:sz="0" w:space="0" w:color="auto"/>
        <w:bottom w:val="none" w:sz="0" w:space="0" w:color="auto"/>
        <w:right w:val="none" w:sz="0" w:space="0" w:color="auto"/>
      </w:divBdr>
    </w:div>
    <w:div w:id="1549225868">
      <w:bodyDiv w:val="1"/>
      <w:marLeft w:val="0"/>
      <w:marRight w:val="0"/>
      <w:marTop w:val="0"/>
      <w:marBottom w:val="0"/>
      <w:divBdr>
        <w:top w:val="none" w:sz="0" w:space="0" w:color="auto"/>
        <w:left w:val="none" w:sz="0" w:space="0" w:color="auto"/>
        <w:bottom w:val="none" w:sz="0" w:space="0" w:color="auto"/>
        <w:right w:val="none" w:sz="0" w:space="0" w:color="auto"/>
      </w:divBdr>
    </w:div>
    <w:div w:id="1676107976">
      <w:bodyDiv w:val="1"/>
      <w:marLeft w:val="0"/>
      <w:marRight w:val="0"/>
      <w:marTop w:val="0"/>
      <w:marBottom w:val="0"/>
      <w:divBdr>
        <w:top w:val="none" w:sz="0" w:space="0" w:color="auto"/>
        <w:left w:val="none" w:sz="0" w:space="0" w:color="auto"/>
        <w:bottom w:val="none" w:sz="0" w:space="0" w:color="auto"/>
        <w:right w:val="none" w:sz="0" w:space="0" w:color="auto"/>
      </w:divBdr>
    </w:div>
    <w:div w:id="1681545635">
      <w:bodyDiv w:val="1"/>
      <w:marLeft w:val="0"/>
      <w:marRight w:val="0"/>
      <w:marTop w:val="0"/>
      <w:marBottom w:val="0"/>
      <w:divBdr>
        <w:top w:val="none" w:sz="0" w:space="0" w:color="auto"/>
        <w:left w:val="none" w:sz="0" w:space="0" w:color="auto"/>
        <w:bottom w:val="none" w:sz="0" w:space="0" w:color="auto"/>
        <w:right w:val="none" w:sz="0" w:space="0" w:color="auto"/>
      </w:divBdr>
    </w:div>
    <w:div w:id="1698501427">
      <w:bodyDiv w:val="1"/>
      <w:marLeft w:val="0"/>
      <w:marRight w:val="0"/>
      <w:marTop w:val="0"/>
      <w:marBottom w:val="0"/>
      <w:divBdr>
        <w:top w:val="none" w:sz="0" w:space="0" w:color="auto"/>
        <w:left w:val="none" w:sz="0" w:space="0" w:color="auto"/>
        <w:bottom w:val="none" w:sz="0" w:space="0" w:color="auto"/>
        <w:right w:val="none" w:sz="0" w:space="0" w:color="auto"/>
      </w:divBdr>
    </w:div>
    <w:div w:id="180730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1DD702-0379-4F30-BAA5-FC484DD8B557}"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zh-CN" altLang="en-US"/>
        </a:p>
      </dgm:t>
    </dgm:pt>
    <dgm:pt modelId="{BC32E2BF-E34D-4C4C-BAA1-EE4B1124CA9B}">
      <dgm:prSet phldrT="[文本]"/>
      <dgm:spPr>
        <a:solidFill>
          <a:schemeClr val="bg1"/>
        </a:solidFill>
        <a:ln w="3175">
          <a:solidFill>
            <a:schemeClr val="tx1"/>
          </a:solidFill>
        </a:ln>
      </dgm:spPr>
      <dgm:t>
        <a:bodyPr/>
        <a:lstStyle/>
        <a:p>
          <a:r>
            <a:rPr lang="zh-CN" altLang="en-US">
              <a:solidFill>
                <a:sysClr val="windowText" lastClr="000000"/>
              </a:solidFill>
            </a:rPr>
            <a:t>权益净利率</a:t>
          </a:r>
          <a:endParaRPr lang="en-US" altLang="zh-CN">
            <a:solidFill>
              <a:sysClr val="windowText" lastClr="000000"/>
            </a:solidFill>
          </a:endParaRPr>
        </a:p>
        <a:p>
          <a:r>
            <a:rPr lang="en-US" altLang="zh-CN">
              <a:solidFill>
                <a:sysClr val="windowText" lastClr="000000"/>
              </a:solidFill>
            </a:rPr>
            <a:t>19.07%</a:t>
          </a:r>
          <a:r>
            <a:rPr lang="zh-CN" altLang="en-US">
              <a:solidFill>
                <a:sysClr val="windowText" lastClr="000000"/>
              </a:solidFill>
            </a:rPr>
            <a:t>（</a:t>
          </a:r>
          <a:r>
            <a:rPr lang="en-US" altLang="zh-CN">
              <a:solidFill>
                <a:sysClr val="windowText" lastClr="000000"/>
              </a:solidFill>
            </a:rPr>
            <a:t>2012</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17.35%</a:t>
          </a:r>
          <a:r>
            <a:rPr lang="zh-CN" altLang="en-US">
              <a:solidFill>
                <a:sysClr val="windowText" lastClr="000000"/>
              </a:solidFill>
            </a:rPr>
            <a:t>（</a:t>
          </a:r>
          <a:r>
            <a:rPr lang="en-US" altLang="zh-CN">
              <a:solidFill>
                <a:sysClr val="windowText" lastClr="000000"/>
              </a:solidFill>
            </a:rPr>
            <a:t>2013</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16.64%</a:t>
          </a:r>
          <a:r>
            <a:rPr lang="zh-CN" altLang="en-US">
              <a:solidFill>
                <a:sysClr val="windowText" lastClr="000000"/>
              </a:solidFill>
            </a:rPr>
            <a:t>（</a:t>
          </a:r>
          <a:r>
            <a:rPr lang="en-US" altLang="zh-CN">
              <a:solidFill>
                <a:sysClr val="windowText" lastClr="000000"/>
              </a:solidFill>
            </a:rPr>
            <a:t>2014</a:t>
          </a:r>
          <a:r>
            <a:rPr lang="zh-CN" altLang="en-US">
              <a:solidFill>
                <a:sysClr val="windowText" lastClr="000000"/>
              </a:solidFill>
            </a:rPr>
            <a:t>年）</a:t>
          </a:r>
        </a:p>
      </dgm:t>
    </dgm:pt>
    <dgm:pt modelId="{71B94F81-423E-464F-A8BC-064E4C39EE93}" type="parTrans" cxnId="{51D454BC-0AB9-4A65-A7B6-760B0B302565}">
      <dgm:prSet/>
      <dgm:spPr/>
      <dgm:t>
        <a:bodyPr/>
        <a:lstStyle/>
        <a:p>
          <a:endParaRPr lang="zh-CN" altLang="en-US"/>
        </a:p>
      </dgm:t>
    </dgm:pt>
    <dgm:pt modelId="{5CC1E8C2-C5C3-4338-8A69-C172C724AD64}" type="sibTrans" cxnId="{51D454BC-0AB9-4A65-A7B6-760B0B302565}">
      <dgm:prSet/>
      <dgm:spPr/>
      <dgm:t>
        <a:bodyPr/>
        <a:lstStyle/>
        <a:p>
          <a:endParaRPr lang="zh-CN" altLang="en-US"/>
        </a:p>
      </dgm:t>
    </dgm:pt>
    <dgm:pt modelId="{A28DEC6D-EDD9-41CF-8C3E-83E4A95CE63C}">
      <dgm:prSet phldrT="[文本]"/>
      <dgm:spPr>
        <a:solidFill>
          <a:schemeClr val="bg1"/>
        </a:solidFill>
        <a:ln w="3175">
          <a:solidFill>
            <a:schemeClr val="tx1"/>
          </a:solidFill>
        </a:ln>
      </dgm:spPr>
      <dgm:t>
        <a:bodyPr/>
        <a:lstStyle/>
        <a:p>
          <a:r>
            <a:rPr lang="zh-CN" altLang="en-US">
              <a:solidFill>
                <a:sysClr val="windowText" lastClr="000000"/>
              </a:solidFill>
            </a:rPr>
            <a:t>总资产净利率</a:t>
          </a:r>
          <a:endParaRPr lang="en-US" altLang="zh-CN">
            <a:solidFill>
              <a:sysClr val="windowText" lastClr="000000"/>
            </a:solidFill>
          </a:endParaRPr>
        </a:p>
        <a:p>
          <a:r>
            <a:rPr lang="en-US" altLang="zh-CN">
              <a:solidFill>
                <a:sysClr val="windowText" lastClr="000000"/>
              </a:solidFill>
            </a:rPr>
            <a:t>4.13%</a:t>
          </a:r>
          <a:r>
            <a:rPr lang="zh-CN" altLang="en-US">
              <a:solidFill>
                <a:sysClr val="windowText" lastClr="000000"/>
              </a:solidFill>
            </a:rPr>
            <a:t>（</a:t>
          </a:r>
          <a:r>
            <a:rPr lang="en-US" altLang="zh-CN">
              <a:solidFill>
                <a:sysClr val="windowText" lastClr="000000"/>
              </a:solidFill>
            </a:rPr>
            <a:t>2012</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3.82%</a:t>
          </a:r>
          <a:r>
            <a:rPr lang="zh-CN" altLang="en-US">
              <a:solidFill>
                <a:sysClr val="windowText" lastClr="000000"/>
              </a:solidFill>
            </a:rPr>
            <a:t>（</a:t>
          </a:r>
          <a:r>
            <a:rPr lang="en-US" altLang="zh-CN">
              <a:solidFill>
                <a:sysClr val="windowText" lastClr="000000"/>
              </a:solidFill>
            </a:rPr>
            <a:t>2013</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3.79%</a:t>
          </a:r>
          <a:r>
            <a:rPr lang="zh-CN" altLang="en-US">
              <a:solidFill>
                <a:sysClr val="windowText" lastClr="000000"/>
              </a:solidFill>
            </a:rPr>
            <a:t>（</a:t>
          </a:r>
          <a:r>
            <a:rPr lang="en-US" altLang="zh-CN">
              <a:solidFill>
                <a:sysClr val="windowText" lastClr="000000"/>
              </a:solidFill>
            </a:rPr>
            <a:t>2014</a:t>
          </a:r>
          <a:r>
            <a:rPr lang="zh-CN" altLang="en-US">
              <a:solidFill>
                <a:sysClr val="windowText" lastClr="000000"/>
              </a:solidFill>
            </a:rPr>
            <a:t>年）</a:t>
          </a:r>
        </a:p>
      </dgm:t>
    </dgm:pt>
    <dgm:pt modelId="{1FD818E0-C5EC-42AC-B4D6-C6C7ECD0B78C}" type="parTrans" cxnId="{AAF8C805-990B-471B-ACF6-7CB701B1DDDD}">
      <dgm:prSet/>
      <dgm:spPr>
        <a:solidFill>
          <a:schemeClr val="bg1"/>
        </a:solidFill>
        <a:ln w="3175">
          <a:solidFill>
            <a:schemeClr val="tx1"/>
          </a:solidFill>
        </a:ln>
      </dgm:spPr>
      <dgm:t>
        <a:bodyPr/>
        <a:lstStyle/>
        <a:p>
          <a:endParaRPr lang="zh-CN" altLang="en-US"/>
        </a:p>
      </dgm:t>
    </dgm:pt>
    <dgm:pt modelId="{443AA958-E1EF-48D0-9316-55E9EEBD12A7}" type="sibTrans" cxnId="{AAF8C805-990B-471B-ACF6-7CB701B1DDDD}">
      <dgm:prSet/>
      <dgm:spPr/>
      <dgm:t>
        <a:bodyPr/>
        <a:lstStyle/>
        <a:p>
          <a:endParaRPr lang="zh-CN" altLang="en-US"/>
        </a:p>
      </dgm:t>
    </dgm:pt>
    <dgm:pt modelId="{B89B2093-70E8-4137-A542-3D51EC85F488}">
      <dgm:prSet phldrT="[文本]"/>
      <dgm:spPr>
        <a:solidFill>
          <a:schemeClr val="bg1"/>
        </a:solidFill>
        <a:ln w="3175">
          <a:solidFill>
            <a:schemeClr val="tx1"/>
          </a:solidFill>
        </a:ln>
      </dgm:spPr>
      <dgm:t>
        <a:bodyPr/>
        <a:lstStyle/>
        <a:p>
          <a:r>
            <a:rPr lang="zh-CN" altLang="en-US">
              <a:solidFill>
                <a:sysClr val="windowText" lastClr="000000"/>
              </a:solidFill>
            </a:rPr>
            <a:t>销售净利率</a:t>
          </a:r>
          <a:endParaRPr lang="en-US" altLang="zh-CN">
            <a:solidFill>
              <a:sysClr val="windowText" lastClr="000000"/>
            </a:solidFill>
          </a:endParaRPr>
        </a:p>
        <a:p>
          <a:r>
            <a:rPr lang="en-US" altLang="zh-CN">
              <a:solidFill>
                <a:sysClr val="windowText" lastClr="000000"/>
              </a:solidFill>
            </a:rPr>
            <a:t>15.19%</a:t>
          </a:r>
          <a:r>
            <a:rPr lang="zh-CN" altLang="en-US">
              <a:solidFill>
                <a:sysClr val="windowText" lastClr="000000"/>
              </a:solidFill>
            </a:rPr>
            <a:t>（</a:t>
          </a:r>
          <a:r>
            <a:rPr lang="en-US" altLang="zh-CN">
              <a:solidFill>
                <a:sysClr val="windowText" lastClr="000000"/>
              </a:solidFill>
            </a:rPr>
            <a:t>2012</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13.51%%</a:t>
          </a:r>
          <a:r>
            <a:rPr lang="zh-CN" altLang="en-US">
              <a:solidFill>
                <a:sysClr val="windowText" lastClr="000000"/>
              </a:solidFill>
            </a:rPr>
            <a:t>（</a:t>
          </a:r>
          <a:r>
            <a:rPr lang="en-US" altLang="zh-CN">
              <a:solidFill>
                <a:sysClr val="windowText" lastClr="000000"/>
              </a:solidFill>
            </a:rPr>
            <a:t>2013</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13.18%</a:t>
          </a:r>
          <a:r>
            <a:rPr lang="zh-CN" altLang="en-US">
              <a:solidFill>
                <a:sysClr val="windowText" lastClr="000000"/>
              </a:solidFill>
            </a:rPr>
            <a:t>（</a:t>
          </a:r>
          <a:r>
            <a:rPr lang="en-US" altLang="zh-CN">
              <a:solidFill>
                <a:sysClr val="windowText" lastClr="000000"/>
              </a:solidFill>
            </a:rPr>
            <a:t>2014</a:t>
          </a:r>
          <a:r>
            <a:rPr lang="zh-CN" altLang="en-US">
              <a:solidFill>
                <a:sysClr val="windowText" lastClr="000000"/>
              </a:solidFill>
            </a:rPr>
            <a:t>年）</a:t>
          </a:r>
        </a:p>
      </dgm:t>
    </dgm:pt>
    <dgm:pt modelId="{E282861D-26D6-4D04-84F8-4C3644D4589E}" type="parTrans" cxnId="{828D3A8D-1D42-4BF9-BA40-F4E5D095C3E7}">
      <dgm:prSet/>
      <dgm:spPr>
        <a:ln w="3175">
          <a:solidFill>
            <a:schemeClr val="tx1"/>
          </a:solidFill>
        </a:ln>
      </dgm:spPr>
      <dgm:t>
        <a:bodyPr/>
        <a:lstStyle/>
        <a:p>
          <a:endParaRPr lang="zh-CN" altLang="en-US"/>
        </a:p>
      </dgm:t>
    </dgm:pt>
    <dgm:pt modelId="{F8EB49FD-758A-45D7-9FCE-9BFB400E5412}" type="sibTrans" cxnId="{828D3A8D-1D42-4BF9-BA40-F4E5D095C3E7}">
      <dgm:prSet/>
      <dgm:spPr/>
      <dgm:t>
        <a:bodyPr/>
        <a:lstStyle/>
        <a:p>
          <a:endParaRPr lang="zh-CN" altLang="en-US"/>
        </a:p>
      </dgm:t>
    </dgm:pt>
    <dgm:pt modelId="{0EA363BF-2D47-40B1-B1DC-6551591F95FE}">
      <dgm:prSet phldrT="[文本]"/>
      <dgm:spPr>
        <a:solidFill>
          <a:schemeClr val="bg1"/>
        </a:solidFill>
        <a:ln w="3175">
          <a:solidFill>
            <a:schemeClr val="tx1"/>
          </a:solidFill>
        </a:ln>
      </dgm:spPr>
      <dgm:t>
        <a:bodyPr/>
        <a:lstStyle/>
        <a:p>
          <a:r>
            <a:rPr lang="zh-CN" altLang="en-US">
              <a:solidFill>
                <a:sysClr val="windowText" lastClr="000000"/>
              </a:solidFill>
            </a:rPr>
            <a:t>资产周转率</a:t>
          </a:r>
          <a:endParaRPr lang="en-US" altLang="zh-CN">
            <a:solidFill>
              <a:sysClr val="windowText" lastClr="000000"/>
            </a:solidFill>
          </a:endParaRPr>
        </a:p>
        <a:p>
          <a:r>
            <a:rPr lang="en-US" altLang="zh-CN">
              <a:solidFill>
                <a:sysClr val="windowText" lastClr="000000"/>
              </a:solidFill>
            </a:rPr>
            <a:t>27.22%</a:t>
          </a:r>
          <a:r>
            <a:rPr lang="zh-CN" altLang="en-US">
              <a:solidFill>
                <a:sysClr val="windowText" lastClr="000000"/>
              </a:solidFill>
            </a:rPr>
            <a:t>（</a:t>
          </a:r>
          <a:r>
            <a:rPr lang="en-US" altLang="zh-CN">
              <a:solidFill>
                <a:sysClr val="windowText" lastClr="000000"/>
              </a:solidFill>
            </a:rPr>
            <a:t>2012</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28.26%</a:t>
          </a:r>
          <a:r>
            <a:rPr lang="zh-CN" altLang="en-US">
              <a:solidFill>
                <a:sysClr val="windowText" lastClr="000000"/>
              </a:solidFill>
            </a:rPr>
            <a:t>（</a:t>
          </a:r>
          <a:r>
            <a:rPr lang="en-US" altLang="zh-CN">
              <a:solidFill>
                <a:sysClr val="windowText" lastClr="000000"/>
              </a:solidFill>
            </a:rPr>
            <a:t>2013</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28.79</a:t>
          </a:r>
          <a:r>
            <a:rPr lang="zh-CN" altLang="en-US">
              <a:solidFill>
                <a:sysClr val="windowText" lastClr="000000"/>
              </a:solidFill>
            </a:rPr>
            <a:t>（</a:t>
          </a:r>
          <a:r>
            <a:rPr lang="en-US" altLang="zh-CN">
              <a:solidFill>
                <a:sysClr val="windowText" lastClr="000000"/>
              </a:solidFill>
            </a:rPr>
            <a:t>2014</a:t>
          </a:r>
          <a:r>
            <a:rPr lang="zh-CN" altLang="en-US">
              <a:solidFill>
                <a:sysClr val="windowText" lastClr="000000"/>
              </a:solidFill>
            </a:rPr>
            <a:t>年）</a:t>
          </a:r>
        </a:p>
      </dgm:t>
    </dgm:pt>
    <dgm:pt modelId="{5391201C-E069-4697-8130-F40464427E7A}" type="parTrans" cxnId="{EDA04DC8-72EE-4CB4-B132-BE425F39A763}">
      <dgm:prSet/>
      <dgm:spPr>
        <a:ln w="3175">
          <a:solidFill>
            <a:schemeClr val="tx1"/>
          </a:solidFill>
        </a:ln>
      </dgm:spPr>
      <dgm:t>
        <a:bodyPr/>
        <a:lstStyle/>
        <a:p>
          <a:endParaRPr lang="zh-CN" altLang="en-US"/>
        </a:p>
      </dgm:t>
    </dgm:pt>
    <dgm:pt modelId="{2F08B7B1-364C-454B-B1A2-AAD61C8566E4}" type="sibTrans" cxnId="{EDA04DC8-72EE-4CB4-B132-BE425F39A763}">
      <dgm:prSet/>
      <dgm:spPr/>
      <dgm:t>
        <a:bodyPr/>
        <a:lstStyle/>
        <a:p>
          <a:endParaRPr lang="zh-CN" altLang="en-US"/>
        </a:p>
      </dgm:t>
    </dgm:pt>
    <dgm:pt modelId="{08D551C6-5A75-476A-BF25-0149BE68686C}">
      <dgm:prSet phldrT="[文本]"/>
      <dgm:spPr>
        <a:solidFill>
          <a:schemeClr val="bg1"/>
        </a:solidFill>
        <a:ln w="3175">
          <a:solidFill>
            <a:schemeClr val="tx1"/>
          </a:solidFill>
        </a:ln>
      </dgm:spPr>
      <dgm:t>
        <a:bodyPr/>
        <a:lstStyle/>
        <a:p>
          <a:r>
            <a:rPr lang="zh-CN" altLang="en-US">
              <a:solidFill>
                <a:sysClr val="windowText" lastClr="000000"/>
              </a:solidFill>
            </a:rPr>
            <a:t>权益乘数</a:t>
          </a:r>
          <a:endParaRPr lang="en-US" altLang="zh-CN">
            <a:solidFill>
              <a:sysClr val="windowText" lastClr="000000"/>
            </a:solidFill>
          </a:endParaRPr>
        </a:p>
        <a:p>
          <a:r>
            <a:rPr lang="en-US" altLang="zh-CN">
              <a:solidFill>
                <a:sysClr val="windowText" lastClr="000000"/>
              </a:solidFill>
            </a:rPr>
            <a:t>4.61</a:t>
          </a:r>
          <a:r>
            <a:rPr lang="zh-CN" altLang="en-US">
              <a:solidFill>
                <a:sysClr val="windowText" lastClr="000000"/>
              </a:solidFill>
            </a:rPr>
            <a:t>（</a:t>
          </a:r>
          <a:r>
            <a:rPr lang="en-US" altLang="zh-CN">
              <a:solidFill>
                <a:sysClr val="windowText" lastClr="000000"/>
              </a:solidFill>
            </a:rPr>
            <a:t>2012</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4.54</a:t>
          </a:r>
          <a:r>
            <a:rPr lang="zh-CN" altLang="en-US">
              <a:solidFill>
                <a:sysClr val="windowText" lastClr="000000"/>
              </a:solidFill>
            </a:rPr>
            <a:t>（</a:t>
          </a:r>
          <a:r>
            <a:rPr lang="en-US" altLang="zh-CN">
              <a:solidFill>
                <a:sysClr val="windowText" lastClr="000000"/>
              </a:solidFill>
            </a:rPr>
            <a:t>2013</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4.39</a:t>
          </a:r>
          <a:r>
            <a:rPr lang="zh-CN" altLang="en-US">
              <a:solidFill>
                <a:sysClr val="windowText" lastClr="000000"/>
              </a:solidFill>
            </a:rPr>
            <a:t>（</a:t>
          </a:r>
          <a:r>
            <a:rPr lang="en-US" altLang="zh-CN">
              <a:solidFill>
                <a:sysClr val="windowText" lastClr="000000"/>
              </a:solidFill>
            </a:rPr>
            <a:t>2014</a:t>
          </a:r>
          <a:r>
            <a:rPr lang="zh-CN" altLang="en-US">
              <a:solidFill>
                <a:sysClr val="windowText" lastClr="000000"/>
              </a:solidFill>
            </a:rPr>
            <a:t>年）</a:t>
          </a:r>
        </a:p>
      </dgm:t>
    </dgm:pt>
    <dgm:pt modelId="{95445461-50B5-42D6-94AC-C9A2E87A4137}" type="parTrans" cxnId="{E9D30E68-9997-4589-B14E-EB5C2AC29B8B}">
      <dgm:prSet/>
      <dgm:spPr>
        <a:ln w="3175">
          <a:solidFill>
            <a:schemeClr val="tx1"/>
          </a:solidFill>
        </a:ln>
      </dgm:spPr>
      <dgm:t>
        <a:bodyPr/>
        <a:lstStyle/>
        <a:p>
          <a:endParaRPr lang="zh-CN" altLang="en-US"/>
        </a:p>
      </dgm:t>
    </dgm:pt>
    <dgm:pt modelId="{375B8F7C-A21F-4F40-83DD-F678884F30FF}" type="sibTrans" cxnId="{E9D30E68-9997-4589-B14E-EB5C2AC29B8B}">
      <dgm:prSet/>
      <dgm:spPr/>
      <dgm:t>
        <a:bodyPr/>
        <a:lstStyle/>
        <a:p>
          <a:endParaRPr lang="zh-CN" altLang="en-US"/>
        </a:p>
      </dgm:t>
    </dgm:pt>
    <dgm:pt modelId="{B8BB0521-ADAB-43D2-990C-B15FF9C95AE1}">
      <dgm:prSet phldrT="[文本]"/>
      <dgm:spPr>
        <a:solidFill>
          <a:schemeClr val="bg1"/>
        </a:solidFill>
        <a:ln w="3175">
          <a:solidFill>
            <a:schemeClr val="tx1"/>
          </a:solidFill>
        </a:ln>
      </dgm:spPr>
      <dgm:t>
        <a:bodyPr/>
        <a:lstStyle/>
        <a:p>
          <a:r>
            <a:rPr lang="zh-CN" altLang="en-US">
              <a:solidFill>
                <a:sysClr val="windowText" lastClr="000000"/>
              </a:solidFill>
            </a:rPr>
            <a:t>资产</a:t>
          </a:r>
          <a:endParaRPr lang="en-US" altLang="zh-CN">
            <a:solidFill>
              <a:sysClr val="windowText" lastClr="000000"/>
            </a:solidFill>
          </a:endParaRPr>
        </a:p>
        <a:p>
          <a:r>
            <a:rPr lang="en-US" b="0" i="0" u="none">
              <a:solidFill>
                <a:sysClr val="windowText" lastClr="000000"/>
              </a:solidFill>
            </a:rPr>
            <a:t>518,357,290,110</a:t>
          </a:r>
          <a:r>
            <a:rPr lang="zh-CN" altLang="en-US" b="0" i="0" u="none">
              <a:solidFill>
                <a:sysClr val="windowText" lastClr="000000"/>
              </a:solidFill>
            </a:rPr>
            <a:t>（</a:t>
          </a:r>
          <a:r>
            <a:rPr lang="en-US" altLang="zh-CN" b="0" i="0" u="none">
              <a:solidFill>
                <a:sysClr val="windowText" lastClr="000000"/>
              </a:solidFill>
            </a:rPr>
            <a:t>2012</a:t>
          </a:r>
          <a:r>
            <a:rPr lang="zh-CN" altLang="en-US" b="0" i="0" u="none">
              <a:solidFill>
                <a:sysClr val="windowText" lastClr="000000"/>
              </a:solidFill>
            </a:rPr>
            <a:t>年）</a:t>
          </a:r>
          <a:endParaRPr lang="en-US" altLang="zh-CN" b="0" i="0" u="none">
            <a:solidFill>
              <a:sysClr val="windowText" lastClr="000000"/>
            </a:solidFill>
          </a:endParaRPr>
        </a:p>
        <a:p>
          <a:r>
            <a:rPr lang="en-US" altLang="zh-CN" b="0" i="0" u="none">
              <a:solidFill>
                <a:sysClr val="windowText" lastClr="000000"/>
              </a:solidFill>
            </a:rPr>
            <a:t>479,205,323,490.54</a:t>
          </a:r>
          <a:r>
            <a:rPr lang="zh-CN" altLang="en-US">
              <a:solidFill>
                <a:sysClr val="windowText" lastClr="000000"/>
              </a:solidFill>
            </a:rPr>
            <a:t>（</a:t>
          </a:r>
          <a:r>
            <a:rPr lang="en-US" altLang="zh-CN">
              <a:solidFill>
                <a:sysClr val="windowText" lastClr="000000"/>
              </a:solidFill>
            </a:rPr>
            <a:t>2013</a:t>
          </a:r>
          <a:r>
            <a:rPr lang="zh-CN" altLang="en-US">
              <a:solidFill>
                <a:sysClr val="windowText" lastClr="000000"/>
              </a:solidFill>
            </a:rPr>
            <a:t>年）</a:t>
          </a:r>
          <a:endParaRPr lang="en-US" altLang="zh-CN">
            <a:solidFill>
              <a:sysClr val="windowText" lastClr="000000"/>
            </a:solidFill>
          </a:endParaRPr>
        </a:p>
        <a:p>
          <a:r>
            <a:rPr lang="en-US" altLang="zh-CN">
              <a:solidFill>
                <a:sysClr val="windowText" lastClr="000000"/>
              </a:solidFill>
            </a:rPr>
            <a:t>508,408,755,415.65</a:t>
          </a:r>
          <a:r>
            <a:rPr lang="zh-CN" altLang="en-US">
              <a:solidFill>
                <a:sysClr val="windowText" lastClr="000000"/>
              </a:solidFill>
            </a:rPr>
            <a:t>（</a:t>
          </a:r>
          <a:r>
            <a:rPr lang="en-US" altLang="zh-CN">
              <a:solidFill>
                <a:sysClr val="windowText" lastClr="000000"/>
              </a:solidFill>
            </a:rPr>
            <a:t>2014</a:t>
          </a:r>
          <a:r>
            <a:rPr lang="zh-CN" altLang="en-US">
              <a:solidFill>
                <a:sysClr val="windowText" lastClr="000000"/>
              </a:solidFill>
            </a:rPr>
            <a:t>年）</a:t>
          </a:r>
          <a:endParaRPr lang="en-US">
            <a:solidFill>
              <a:sysClr val="windowText" lastClr="000000"/>
            </a:solidFill>
          </a:endParaRPr>
        </a:p>
        <a:p>
          <a:endParaRPr lang="zh-CN" altLang="en-US">
            <a:solidFill>
              <a:sysClr val="windowText" lastClr="000000"/>
            </a:solidFill>
          </a:endParaRPr>
        </a:p>
      </dgm:t>
    </dgm:pt>
    <dgm:pt modelId="{C0A5EF3E-6796-4DCA-9FD3-BC1AFC88F653}" type="parTrans" cxnId="{0FA192FD-9076-4DBA-A37F-073431B1FB6C}">
      <dgm:prSet/>
      <dgm:spPr>
        <a:solidFill>
          <a:schemeClr val="bg1"/>
        </a:solidFill>
        <a:ln w="3175">
          <a:solidFill>
            <a:schemeClr val="tx1"/>
          </a:solidFill>
        </a:ln>
      </dgm:spPr>
      <dgm:t>
        <a:bodyPr/>
        <a:lstStyle/>
        <a:p>
          <a:endParaRPr lang="zh-CN" altLang="en-US"/>
        </a:p>
      </dgm:t>
    </dgm:pt>
    <dgm:pt modelId="{1E0D7743-3CD8-4736-B2A6-D24A1ECFF5B4}" type="sibTrans" cxnId="{0FA192FD-9076-4DBA-A37F-073431B1FB6C}">
      <dgm:prSet/>
      <dgm:spPr/>
      <dgm:t>
        <a:bodyPr/>
        <a:lstStyle/>
        <a:p>
          <a:endParaRPr lang="zh-CN" altLang="en-US"/>
        </a:p>
      </dgm:t>
    </dgm:pt>
    <dgm:pt modelId="{BF09A708-F893-4410-A87B-E5E62FC0B655}">
      <dgm:prSet phldrT="[文本]"/>
      <dgm:spPr>
        <a:solidFill>
          <a:schemeClr val="bg1"/>
        </a:solidFill>
        <a:ln w="3175">
          <a:solidFill>
            <a:schemeClr val="tx1"/>
          </a:solidFill>
        </a:ln>
      </dgm:spPr>
      <dgm:t>
        <a:bodyPr/>
        <a:lstStyle/>
        <a:p>
          <a:r>
            <a:rPr lang="zh-CN" altLang="en-US">
              <a:solidFill>
                <a:sysClr val="windowText" lastClr="000000"/>
              </a:solidFill>
            </a:rPr>
            <a:t>负债</a:t>
          </a:r>
          <a:endParaRPr lang="en-US" altLang="zh-CN">
            <a:solidFill>
              <a:sysClr val="windowText" lastClr="000000"/>
            </a:solidFill>
          </a:endParaRPr>
        </a:p>
        <a:p>
          <a:r>
            <a:rPr lang="en-US" b="0" i="0" u="none">
              <a:solidFill>
                <a:sysClr val="windowText" lastClr="000000"/>
              </a:solidFill>
            </a:rPr>
            <a:t>306,122,976,845</a:t>
          </a:r>
          <a:r>
            <a:rPr lang="zh-CN" altLang="en-US" b="0" i="0" u="none">
              <a:solidFill>
                <a:sysClr val="windowText" lastClr="000000"/>
              </a:solidFill>
            </a:rPr>
            <a:t>（</a:t>
          </a:r>
          <a:r>
            <a:rPr lang="en-US" altLang="zh-CN" b="0" i="0" u="none">
              <a:solidFill>
                <a:sysClr val="windowText" lastClr="000000"/>
              </a:solidFill>
            </a:rPr>
            <a:t>2012</a:t>
          </a:r>
          <a:r>
            <a:rPr lang="zh-CN" altLang="en-US" b="0" i="0" u="none">
              <a:solidFill>
                <a:sysClr val="windowText" lastClr="000000"/>
              </a:solidFill>
            </a:rPr>
            <a:t>年）</a:t>
          </a:r>
          <a:endParaRPr lang="en-US" altLang="zh-CN" b="0" i="0" u="none">
            <a:solidFill>
              <a:sysClr val="windowText" lastClr="000000"/>
            </a:solidFill>
          </a:endParaRPr>
        </a:p>
        <a:p>
          <a:r>
            <a:rPr lang="en-US" altLang="zh-CN" b="0" i="0" u="none">
              <a:solidFill>
                <a:sysClr val="windowText" lastClr="000000"/>
              </a:solidFill>
            </a:rPr>
            <a:t>373,765,900,091.91</a:t>
          </a:r>
          <a:r>
            <a:rPr lang="zh-CN" altLang="en-US" b="0" i="0" u="none">
              <a:solidFill>
                <a:sysClr val="windowText" lastClr="000000"/>
              </a:solidFill>
            </a:rPr>
            <a:t>（</a:t>
          </a:r>
          <a:r>
            <a:rPr lang="en-US" altLang="zh-CN" b="0" i="0" u="none">
              <a:solidFill>
                <a:sysClr val="windowText" lastClr="000000"/>
              </a:solidFill>
            </a:rPr>
            <a:t>2013</a:t>
          </a:r>
          <a:r>
            <a:rPr lang="zh-CN" altLang="en-US" b="0" i="0" u="none">
              <a:solidFill>
                <a:sysClr val="windowText" lastClr="000000"/>
              </a:solidFill>
            </a:rPr>
            <a:t>年）</a:t>
          </a:r>
          <a:endParaRPr lang="en-US" altLang="zh-CN" b="0" i="0" u="none">
            <a:solidFill>
              <a:sysClr val="windowText" lastClr="000000"/>
            </a:solidFill>
          </a:endParaRPr>
        </a:p>
        <a:p>
          <a:r>
            <a:rPr lang="en-US" altLang="zh-CN" b="0" i="0" u="none">
              <a:solidFill>
                <a:sysClr val="windowText" lastClr="000000"/>
              </a:solidFill>
            </a:rPr>
            <a:t>392,515,138,495.68</a:t>
          </a:r>
          <a:r>
            <a:rPr lang="en-US" altLang="zh-CN">
              <a:solidFill>
                <a:sysClr val="windowText" lastClr="000000"/>
              </a:solidFill>
            </a:rPr>
            <a:t>2014</a:t>
          </a:r>
          <a:r>
            <a:rPr lang="zh-CN" altLang="en-US">
              <a:solidFill>
                <a:sysClr val="windowText" lastClr="000000"/>
              </a:solidFill>
            </a:rPr>
            <a:t>年）</a:t>
          </a:r>
        </a:p>
      </dgm:t>
    </dgm:pt>
    <dgm:pt modelId="{714BC39B-1842-4864-935F-B1ECA1508D44}" type="parTrans" cxnId="{5EB9B53D-F1D0-4756-9762-AE6EC604816C}">
      <dgm:prSet/>
      <dgm:spPr>
        <a:ln w="3175">
          <a:solidFill>
            <a:schemeClr val="tx1"/>
          </a:solidFill>
        </a:ln>
      </dgm:spPr>
      <dgm:t>
        <a:bodyPr/>
        <a:lstStyle/>
        <a:p>
          <a:endParaRPr lang="zh-CN" altLang="en-US"/>
        </a:p>
      </dgm:t>
    </dgm:pt>
    <dgm:pt modelId="{CC1408A6-E9AB-46C2-ACFF-16D68D4AE869}" type="sibTrans" cxnId="{5EB9B53D-F1D0-4756-9762-AE6EC604816C}">
      <dgm:prSet/>
      <dgm:spPr/>
      <dgm:t>
        <a:bodyPr/>
        <a:lstStyle/>
        <a:p>
          <a:endParaRPr lang="zh-CN" altLang="en-US"/>
        </a:p>
      </dgm:t>
    </dgm:pt>
    <dgm:pt modelId="{8AF72178-18DF-4D37-8604-D9598817310A}" type="pres">
      <dgm:prSet presAssocID="{5C1DD702-0379-4F30-BAA5-FC484DD8B557}" presName="mainComposite" presStyleCnt="0">
        <dgm:presLayoutVars>
          <dgm:chPref val="1"/>
          <dgm:dir/>
          <dgm:animOne val="branch"/>
          <dgm:animLvl val="lvl"/>
          <dgm:resizeHandles val="exact"/>
        </dgm:presLayoutVars>
      </dgm:prSet>
      <dgm:spPr/>
      <dgm:t>
        <a:bodyPr/>
        <a:lstStyle/>
        <a:p>
          <a:endParaRPr lang="zh-CN" altLang="en-US"/>
        </a:p>
      </dgm:t>
    </dgm:pt>
    <dgm:pt modelId="{CA787379-4FF4-4C01-879A-CD42F3EE5680}" type="pres">
      <dgm:prSet presAssocID="{5C1DD702-0379-4F30-BAA5-FC484DD8B557}" presName="hierFlow" presStyleCnt="0"/>
      <dgm:spPr/>
    </dgm:pt>
    <dgm:pt modelId="{6E78E347-CC0E-493F-8A85-5D83102809AA}" type="pres">
      <dgm:prSet presAssocID="{5C1DD702-0379-4F30-BAA5-FC484DD8B557}" presName="hierChild1" presStyleCnt="0">
        <dgm:presLayoutVars>
          <dgm:chPref val="1"/>
          <dgm:animOne val="branch"/>
          <dgm:animLvl val="lvl"/>
        </dgm:presLayoutVars>
      </dgm:prSet>
      <dgm:spPr/>
    </dgm:pt>
    <dgm:pt modelId="{71C02BFD-80EE-4781-B7B1-AAAFDBBF419B}" type="pres">
      <dgm:prSet presAssocID="{BC32E2BF-E34D-4C4C-BAA1-EE4B1124CA9B}" presName="Name14" presStyleCnt="0"/>
      <dgm:spPr/>
    </dgm:pt>
    <dgm:pt modelId="{53426066-57EC-445B-8846-99947C9AF2F5}" type="pres">
      <dgm:prSet presAssocID="{BC32E2BF-E34D-4C4C-BAA1-EE4B1124CA9B}" presName="level1Shape" presStyleLbl="node0" presStyleIdx="0" presStyleCnt="1" custScaleY="137033">
        <dgm:presLayoutVars>
          <dgm:chPref val="3"/>
        </dgm:presLayoutVars>
      </dgm:prSet>
      <dgm:spPr/>
      <dgm:t>
        <a:bodyPr/>
        <a:lstStyle/>
        <a:p>
          <a:endParaRPr lang="zh-CN" altLang="en-US"/>
        </a:p>
      </dgm:t>
    </dgm:pt>
    <dgm:pt modelId="{8808A133-3EC6-4C15-8978-EEED83784153}" type="pres">
      <dgm:prSet presAssocID="{BC32E2BF-E34D-4C4C-BAA1-EE4B1124CA9B}" presName="hierChild2" presStyleCnt="0"/>
      <dgm:spPr/>
    </dgm:pt>
    <dgm:pt modelId="{5534D8DE-E738-4BF0-8233-8D6A3797D4BD}" type="pres">
      <dgm:prSet presAssocID="{1FD818E0-C5EC-42AC-B4D6-C6C7ECD0B78C}" presName="Name19" presStyleLbl="parChTrans1D2" presStyleIdx="0" presStyleCnt="2"/>
      <dgm:spPr/>
      <dgm:t>
        <a:bodyPr/>
        <a:lstStyle/>
        <a:p>
          <a:endParaRPr lang="zh-CN" altLang="en-US"/>
        </a:p>
      </dgm:t>
    </dgm:pt>
    <dgm:pt modelId="{72078734-1508-4AE1-BBCC-8A9EAB95B0DD}" type="pres">
      <dgm:prSet presAssocID="{A28DEC6D-EDD9-41CF-8C3E-83E4A95CE63C}" presName="Name21" presStyleCnt="0"/>
      <dgm:spPr/>
    </dgm:pt>
    <dgm:pt modelId="{66AA57F5-D5CF-41EC-A6F2-5C7563E32679}" type="pres">
      <dgm:prSet presAssocID="{A28DEC6D-EDD9-41CF-8C3E-83E4A95CE63C}" presName="level2Shape" presStyleLbl="node2" presStyleIdx="0" presStyleCnt="2" custScaleY="137033"/>
      <dgm:spPr/>
      <dgm:t>
        <a:bodyPr/>
        <a:lstStyle/>
        <a:p>
          <a:endParaRPr lang="zh-CN" altLang="en-US"/>
        </a:p>
      </dgm:t>
    </dgm:pt>
    <dgm:pt modelId="{3D3B7FFC-0F22-4AA7-9FD1-E954F767BA59}" type="pres">
      <dgm:prSet presAssocID="{A28DEC6D-EDD9-41CF-8C3E-83E4A95CE63C}" presName="hierChild3" presStyleCnt="0"/>
      <dgm:spPr/>
    </dgm:pt>
    <dgm:pt modelId="{97119D5F-6EC8-43BB-8F7A-2418A813B44E}" type="pres">
      <dgm:prSet presAssocID="{E282861D-26D6-4D04-84F8-4C3644D4589E}" presName="Name19" presStyleLbl="parChTrans1D3" presStyleIdx="0" presStyleCnt="4"/>
      <dgm:spPr/>
      <dgm:t>
        <a:bodyPr/>
        <a:lstStyle/>
        <a:p>
          <a:endParaRPr lang="zh-CN" altLang="en-US"/>
        </a:p>
      </dgm:t>
    </dgm:pt>
    <dgm:pt modelId="{3C5F64FE-8ECB-41B8-A582-4EB42995B987}" type="pres">
      <dgm:prSet presAssocID="{B89B2093-70E8-4137-A542-3D51EC85F488}" presName="Name21" presStyleCnt="0"/>
      <dgm:spPr/>
    </dgm:pt>
    <dgm:pt modelId="{331A47DC-B206-4679-ACB2-361B5C3FA1E0}" type="pres">
      <dgm:prSet presAssocID="{B89B2093-70E8-4137-A542-3D51EC85F488}" presName="level2Shape" presStyleLbl="node3" presStyleIdx="0" presStyleCnt="4" custScaleY="137033"/>
      <dgm:spPr/>
      <dgm:t>
        <a:bodyPr/>
        <a:lstStyle/>
        <a:p>
          <a:endParaRPr lang="zh-CN" altLang="en-US"/>
        </a:p>
      </dgm:t>
    </dgm:pt>
    <dgm:pt modelId="{48DCE27B-8A02-4CF2-B913-67FB835312A2}" type="pres">
      <dgm:prSet presAssocID="{B89B2093-70E8-4137-A542-3D51EC85F488}" presName="hierChild3" presStyleCnt="0"/>
      <dgm:spPr/>
    </dgm:pt>
    <dgm:pt modelId="{4E27A1C4-7418-47C2-A1BF-9E204ECF5500}" type="pres">
      <dgm:prSet presAssocID="{5391201C-E069-4697-8130-F40464427E7A}" presName="Name19" presStyleLbl="parChTrans1D3" presStyleIdx="1" presStyleCnt="4"/>
      <dgm:spPr/>
      <dgm:t>
        <a:bodyPr/>
        <a:lstStyle/>
        <a:p>
          <a:endParaRPr lang="zh-CN" altLang="en-US"/>
        </a:p>
      </dgm:t>
    </dgm:pt>
    <dgm:pt modelId="{FB6998CE-0836-4B07-B9D6-B8CEAEE6668A}" type="pres">
      <dgm:prSet presAssocID="{0EA363BF-2D47-40B1-B1DC-6551591F95FE}" presName="Name21" presStyleCnt="0"/>
      <dgm:spPr/>
    </dgm:pt>
    <dgm:pt modelId="{CE228942-3B36-41B0-996B-97AB474A0F3D}" type="pres">
      <dgm:prSet presAssocID="{0EA363BF-2D47-40B1-B1DC-6551591F95FE}" presName="level2Shape" presStyleLbl="node3" presStyleIdx="1" presStyleCnt="4" custScaleY="137033"/>
      <dgm:spPr/>
      <dgm:t>
        <a:bodyPr/>
        <a:lstStyle/>
        <a:p>
          <a:endParaRPr lang="zh-CN" altLang="en-US"/>
        </a:p>
      </dgm:t>
    </dgm:pt>
    <dgm:pt modelId="{25AD52C7-C9A9-42CB-BE03-2E2937271051}" type="pres">
      <dgm:prSet presAssocID="{0EA363BF-2D47-40B1-B1DC-6551591F95FE}" presName="hierChild3" presStyleCnt="0"/>
      <dgm:spPr/>
    </dgm:pt>
    <dgm:pt modelId="{B0D4027F-0A13-4F65-86A8-513BFEC6D9E6}" type="pres">
      <dgm:prSet presAssocID="{95445461-50B5-42D6-94AC-C9A2E87A4137}" presName="Name19" presStyleLbl="parChTrans1D2" presStyleIdx="1" presStyleCnt="2"/>
      <dgm:spPr/>
      <dgm:t>
        <a:bodyPr/>
        <a:lstStyle/>
        <a:p>
          <a:endParaRPr lang="zh-CN" altLang="en-US"/>
        </a:p>
      </dgm:t>
    </dgm:pt>
    <dgm:pt modelId="{EB343D53-15C5-4B5E-9440-0873A1BCF9D0}" type="pres">
      <dgm:prSet presAssocID="{08D551C6-5A75-476A-BF25-0149BE68686C}" presName="Name21" presStyleCnt="0"/>
      <dgm:spPr/>
    </dgm:pt>
    <dgm:pt modelId="{853281FB-A51B-4CDF-A3F3-52D3E7C03807}" type="pres">
      <dgm:prSet presAssocID="{08D551C6-5A75-476A-BF25-0149BE68686C}" presName="level2Shape" presStyleLbl="node2" presStyleIdx="1" presStyleCnt="2" custScaleY="137033"/>
      <dgm:spPr/>
      <dgm:t>
        <a:bodyPr/>
        <a:lstStyle/>
        <a:p>
          <a:endParaRPr lang="zh-CN" altLang="en-US"/>
        </a:p>
      </dgm:t>
    </dgm:pt>
    <dgm:pt modelId="{1A569A05-40C7-45CC-9321-61669790F0B8}" type="pres">
      <dgm:prSet presAssocID="{08D551C6-5A75-476A-BF25-0149BE68686C}" presName="hierChild3" presStyleCnt="0"/>
      <dgm:spPr/>
    </dgm:pt>
    <dgm:pt modelId="{58BE5D20-7E67-46CD-A630-E155B1F81D7B}" type="pres">
      <dgm:prSet presAssocID="{C0A5EF3E-6796-4DCA-9FD3-BC1AFC88F653}" presName="Name19" presStyleLbl="parChTrans1D3" presStyleIdx="2" presStyleCnt="4"/>
      <dgm:spPr/>
      <dgm:t>
        <a:bodyPr/>
        <a:lstStyle/>
        <a:p>
          <a:endParaRPr lang="zh-CN" altLang="en-US"/>
        </a:p>
      </dgm:t>
    </dgm:pt>
    <dgm:pt modelId="{960A3448-A0D8-4DE0-8759-A96871E0EBCD}" type="pres">
      <dgm:prSet presAssocID="{B8BB0521-ADAB-43D2-990C-B15FF9C95AE1}" presName="Name21" presStyleCnt="0"/>
      <dgm:spPr/>
    </dgm:pt>
    <dgm:pt modelId="{41A281AE-8524-4722-BFF4-1C0E7FA3613F}" type="pres">
      <dgm:prSet presAssocID="{B8BB0521-ADAB-43D2-990C-B15FF9C95AE1}" presName="level2Shape" presStyleLbl="node3" presStyleIdx="2" presStyleCnt="4" custScaleX="128253" custScaleY="148932"/>
      <dgm:spPr/>
      <dgm:t>
        <a:bodyPr/>
        <a:lstStyle/>
        <a:p>
          <a:endParaRPr lang="zh-CN" altLang="en-US"/>
        </a:p>
      </dgm:t>
    </dgm:pt>
    <dgm:pt modelId="{305C7FFC-ACB3-4752-B1F5-C10E1992D0EA}" type="pres">
      <dgm:prSet presAssocID="{B8BB0521-ADAB-43D2-990C-B15FF9C95AE1}" presName="hierChild3" presStyleCnt="0"/>
      <dgm:spPr/>
    </dgm:pt>
    <dgm:pt modelId="{4799C365-BA12-46FE-BA74-9F19C9813CC1}" type="pres">
      <dgm:prSet presAssocID="{714BC39B-1842-4864-935F-B1ECA1508D44}" presName="Name19" presStyleLbl="parChTrans1D3" presStyleIdx="3" presStyleCnt="4"/>
      <dgm:spPr/>
      <dgm:t>
        <a:bodyPr/>
        <a:lstStyle/>
        <a:p>
          <a:endParaRPr lang="zh-CN" altLang="en-US"/>
        </a:p>
      </dgm:t>
    </dgm:pt>
    <dgm:pt modelId="{40699503-1FA6-4EA6-9B27-1CBE58C4ADE0}" type="pres">
      <dgm:prSet presAssocID="{BF09A708-F893-4410-A87B-E5E62FC0B655}" presName="Name21" presStyleCnt="0"/>
      <dgm:spPr/>
    </dgm:pt>
    <dgm:pt modelId="{BC901687-151D-4257-86B5-3EADA3FA9DBF}" type="pres">
      <dgm:prSet presAssocID="{BF09A708-F893-4410-A87B-E5E62FC0B655}" presName="level2Shape" presStyleLbl="node3" presStyleIdx="3" presStyleCnt="4" custScaleX="137476" custScaleY="148933"/>
      <dgm:spPr/>
      <dgm:t>
        <a:bodyPr/>
        <a:lstStyle/>
        <a:p>
          <a:endParaRPr lang="zh-CN" altLang="en-US"/>
        </a:p>
      </dgm:t>
    </dgm:pt>
    <dgm:pt modelId="{0C364920-828E-4413-91B3-66D7C05EFF81}" type="pres">
      <dgm:prSet presAssocID="{BF09A708-F893-4410-A87B-E5E62FC0B655}" presName="hierChild3" presStyleCnt="0"/>
      <dgm:spPr/>
    </dgm:pt>
    <dgm:pt modelId="{BEB12FBA-7328-4DCA-84AB-22DC17F0FC5F}" type="pres">
      <dgm:prSet presAssocID="{5C1DD702-0379-4F30-BAA5-FC484DD8B557}" presName="bgShapesFlow" presStyleCnt="0"/>
      <dgm:spPr/>
    </dgm:pt>
  </dgm:ptLst>
  <dgm:cxnLst>
    <dgm:cxn modelId="{8384F80F-E558-4537-829B-9ABC1B5B3C40}" type="presOf" srcId="{5C1DD702-0379-4F30-BAA5-FC484DD8B557}" destId="{8AF72178-18DF-4D37-8604-D9598817310A}" srcOrd="0" destOrd="0" presId="urn:microsoft.com/office/officeart/2005/8/layout/hierarchy6"/>
    <dgm:cxn modelId="{0FA192FD-9076-4DBA-A37F-073431B1FB6C}" srcId="{08D551C6-5A75-476A-BF25-0149BE68686C}" destId="{B8BB0521-ADAB-43D2-990C-B15FF9C95AE1}" srcOrd="0" destOrd="0" parTransId="{C0A5EF3E-6796-4DCA-9FD3-BC1AFC88F653}" sibTransId="{1E0D7743-3CD8-4736-B2A6-D24A1ECFF5B4}"/>
    <dgm:cxn modelId="{64B3B554-BCEB-4C7E-AA57-0219CAC142A5}" type="presOf" srcId="{5391201C-E069-4697-8130-F40464427E7A}" destId="{4E27A1C4-7418-47C2-A1BF-9E204ECF5500}" srcOrd="0" destOrd="0" presId="urn:microsoft.com/office/officeart/2005/8/layout/hierarchy6"/>
    <dgm:cxn modelId="{5EB9B53D-F1D0-4756-9762-AE6EC604816C}" srcId="{08D551C6-5A75-476A-BF25-0149BE68686C}" destId="{BF09A708-F893-4410-A87B-E5E62FC0B655}" srcOrd="1" destOrd="0" parTransId="{714BC39B-1842-4864-935F-B1ECA1508D44}" sibTransId="{CC1408A6-E9AB-46C2-ACFF-16D68D4AE869}"/>
    <dgm:cxn modelId="{11156A9D-5688-4D76-9A87-4CEAD8CCED19}" type="presOf" srcId="{E282861D-26D6-4D04-84F8-4C3644D4589E}" destId="{97119D5F-6EC8-43BB-8F7A-2418A813B44E}" srcOrd="0" destOrd="0" presId="urn:microsoft.com/office/officeart/2005/8/layout/hierarchy6"/>
    <dgm:cxn modelId="{E9D30E68-9997-4589-B14E-EB5C2AC29B8B}" srcId="{BC32E2BF-E34D-4C4C-BAA1-EE4B1124CA9B}" destId="{08D551C6-5A75-476A-BF25-0149BE68686C}" srcOrd="1" destOrd="0" parTransId="{95445461-50B5-42D6-94AC-C9A2E87A4137}" sibTransId="{375B8F7C-A21F-4F40-83DD-F678884F30FF}"/>
    <dgm:cxn modelId="{828D3A8D-1D42-4BF9-BA40-F4E5D095C3E7}" srcId="{A28DEC6D-EDD9-41CF-8C3E-83E4A95CE63C}" destId="{B89B2093-70E8-4137-A542-3D51EC85F488}" srcOrd="0" destOrd="0" parTransId="{E282861D-26D6-4D04-84F8-4C3644D4589E}" sibTransId="{F8EB49FD-758A-45D7-9FCE-9BFB400E5412}"/>
    <dgm:cxn modelId="{60846EBF-251E-47E6-A6E8-26D347BCA745}" type="presOf" srcId="{BF09A708-F893-4410-A87B-E5E62FC0B655}" destId="{BC901687-151D-4257-86B5-3EADA3FA9DBF}" srcOrd="0" destOrd="0" presId="urn:microsoft.com/office/officeart/2005/8/layout/hierarchy6"/>
    <dgm:cxn modelId="{2B48035E-B4C8-449A-8711-D87715AECB02}" type="presOf" srcId="{1FD818E0-C5EC-42AC-B4D6-C6C7ECD0B78C}" destId="{5534D8DE-E738-4BF0-8233-8D6A3797D4BD}" srcOrd="0" destOrd="0" presId="urn:microsoft.com/office/officeart/2005/8/layout/hierarchy6"/>
    <dgm:cxn modelId="{AAF8C805-990B-471B-ACF6-7CB701B1DDDD}" srcId="{BC32E2BF-E34D-4C4C-BAA1-EE4B1124CA9B}" destId="{A28DEC6D-EDD9-41CF-8C3E-83E4A95CE63C}" srcOrd="0" destOrd="0" parTransId="{1FD818E0-C5EC-42AC-B4D6-C6C7ECD0B78C}" sibTransId="{443AA958-E1EF-48D0-9316-55E9EEBD12A7}"/>
    <dgm:cxn modelId="{FB09F9ED-AFBB-4174-839E-FC7C5AAA3BAC}" type="presOf" srcId="{0EA363BF-2D47-40B1-B1DC-6551591F95FE}" destId="{CE228942-3B36-41B0-996B-97AB474A0F3D}" srcOrd="0" destOrd="0" presId="urn:microsoft.com/office/officeart/2005/8/layout/hierarchy6"/>
    <dgm:cxn modelId="{72914E4D-34DF-4162-BF34-D060BE943090}" type="presOf" srcId="{C0A5EF3E-6796-4DCA-9FD3-BC1AFC88F653}" destId="{58BE5D20-7E67-46CD-A630-E155B1F81D7B}" srcOrd="0" destOrd="0" presId="urn:microsoft.com/office/officeart/2005/8/layout/hierarchy6"/>
    <dgm:cxn modelId="{F9884A72-F18B-44B7-AEEA-2A6FE6207A2B}" type="presOf" srcId="{B8BB0521-ADAB-43D2-990C-B15FF9C95AE1}" destId="{41A281AE-8524-4722-BFF4-1C0E7FA3613F}" srcOrd="0" destOrd="0" presId="urn:microsoft.com/office/officeart/2005/8/layout/hierarchy6"/>
    <dgm:cxn modelId="{674859B2-4DF1-4D5F-A05D-A73C37ADDCCB}" type="presOf" srcId="{B89B2093-70E8-4137-A542-3D51EC85F488}" destId="{331A47DC-B206-4679-ACB2-361B5C3FA1E0}" srcOrd="0" destOrd="0" presId="urn:microsoft.com/office/officeart/2005/8/layout/hierarchy6"/>
    <dgm:cxn modelId="{51D454BC-0AB9-4A65-A7B6-760B0B302565}" srcId="{5C1DD702-0379-4F30-BAA5-FC484DD8B557}" destId="{BC32E2BF-E34D-4C4C-BAA1-EE4B1124CA9B}" srcOrd="0" destOrd="0" parTransId="{71B94F81-423E-464F-A8BC-064E4C39EE93}" sibTransId="{5CC1E8C2-C5C3-4338-8A69-C172C724AD64}"/>
    <dgm:cxn modelId="{5E2E594A-6AEE-41CC-9203-7B8B134BD6DF}" type="presOf" srcId="{A28DEC6D-EDD9-41CF-8C3E-83E4A95CE63C}" destId="{66AA57F5-D5CF-41EC-A6F2-5C7563E32679}" srcOrd="0" destOrd="0" presId="urn:microsoft.com/office/officeart/2005/8/layout/hierarchy6"/>
    <dgm:cxn modelId="{5C54DEB6-A460-4C4E-AE81-04DA4FA63AFE}" type="presOf" srcId="{714BC39B-1842-4864-935F-B1ECA1508D44}" destId="{4799C365-BA12-46FE-BA74-9F19C9813CC1}" srcOrd="0" destOrd="0" presId="urn:microsoft.com/office/officeart/2005/8/layout/hierarchy6"/>
    <dgm:cxn modelId="{C67C18A2-6C63-4E79-8D61-B98BA11AD910}" type="presOf" srcId="{95445461-50B5-42D6-94AC-C9A2E87A4137}" destId="{B0D4027F-0A13-4F65-86A8-513BFEC6D9E6}" srcOrd="0" destOrd="0" presId="urn:microsoft.com/office/officeart/2005/8/layout/hierarchy6"/>
    <dgm:cxn modelId="{EDA04DC8-72EE-4CB4-B132-BE425F39A763}" srcId="{A28DEC6D-EDD9-41CF-8C3E-83E4A95CE63C}" destId="{0EA363BF-2D47-40B1-B1DC-6551591F95FE}" srcOrd="1" destOrd="0" parTransId="{5391201C-E069-4697-8130-F40464427E7A}" sibTransId="{2F08B7B1-364C-454B-B1A2-AAD61C8566E4}"/>
    <dgm:cxn modelId="{23143D20-18A7-4114-B704-FEE58493AC65}" type="presOf" srcId="{08D551C6-5A75-476A-BF25-0149BE68686C}" destId="{853281FB-A51B-4CDF-A3F3-52D3E7C03807}" srcOrd="0" destOrd="0" presId="urn:microsoft.com/office/officeart/2005/8/layout/hierarchy6"/>
    <dgm:cxn modelId="{0CED20C5-3468-43A9-A80E-77E4D156DF80}" type="presOf" srcId="{BC32E2BF-E34D-4C4C-BAA1-EE4B1124CA9B}" destId="{53426066-57EC-445B-8846-99947C9AF2F5}" srcOrd="0" destOrd="0" presId="urn:microsoft.com/office/officeart/2005/8/layout/hierarchy6"/>
    <dgm:cxn modelId="{05D0545D-0753-4911-B8B4-D48BD4C120DA}" type="presParOf" srcId="{8AF72178-18DF-4D37-8604-D9598817310A}" destId="{CA787379-4FF4-4C01-879A-CD42F3EE5680}" srcOrd="0" destOrd="0" presId="urn:microsoft.com/office/officeart/2005/8/layout/hierarchy6"/>
    <dgm:cxn modelId="{9881B8C8-2E4B-41F0-B939-006FA38E73FE}" type="presParOf" srcId="{CA787379-4FF4-4C01-879A-CD42F3EE5680}" destId="{6E78E347-CC0E-493F-8A85-5D83102809AA}" srcOrd="0" destOrd="0" presId="urn:microsoft.com/office/officeart/2005/8/layout/hierarchy6"/>
    <dgm:cxn modelId="{DE699BD9-3011-40D9-B7A5-6294A99368B3}" type="presParOf" srcId="{6E78E347-CC0E-493F-8A85-5D83102809AA}" destId="{71C02BFD-80EE-4781-B7B1-AAAFDBBF419B}" srcOrd="0" destOrd="0" presId="urn:microsoft.com/office/officeart/2005/8/layout/hierarchy6"/>
    <dgm:cxn modelId="{D3FD8E59-9C3B-4196-9DCB-44F56DA92171}" type="presParOf" srcId="{71C02BFD-80EE-4781-B7B1-AAAFDBBF419B}" destId="{53426066-57EC-445B-8846-99947C9AF2F5}" srcOrd="0" destOrd="0" presId="urn:microsoft.com/office/officeart/2005/8/layout/hierarchy6"/>
    <dgm:cxn modelId="{7BA72994-2EB7-4A4C-85BF-92A3A916498A}" type="presParOf" srcId="{71C02BFD-80EE-4781-B7B1-AAAFDBBF419B}" destId="{8808A133-3EC6-4C15-8978-EEED83784153}" srcOrd="1" destOrd="0" presId="urn:microsoft.com/office/officeart/2005/8/layout/hierarchy6"/>
    <dgm:cxn modelId="{8C4000B0-E210-4D3D-B685-9672F04328D1}" type="presParOf" srcId="{8808A133-3EC6-4C15-8978-EEED83784153}" destId="{5534D8DE-E738-4BF0-8233-8D6A3797D4BD}" srcOrd="0" destOrd="0" presId="urn:microsoft.com/office/officeart/2005/8/layout/hierarchy6"/>
    <dgm:cxn modelId="{0E291FFB-6D90-4FA3-A859-9959CD6F3B35}" type="presParOf" srcId="{8808A133-3EC6-4C15-8978-EEED83784153}" destId="{72078734-1508-4AE1-BBCC-8A9EAB95B0DD}" srcOrd="1" destOrd="0" presId="urn:microsoft.com/office/officeart/2005/8/layout/hierarchy6"/>
    <dgm:cxn modelId="{E30D0A57-9AF5-410B-BCFC-8AA494D802AA}" type="presParOf" srcId="{72078734-1508-4AE1-BBCC-8A9EAB95B0DD}" destId="{66AA57F5-D5CF-41EC-A6F2-5C7563E32679}" srcOrd="0" destOrd="0" presId="urn:microsoft.com/office/officeart/2005/8/layout/hierarchy6"/>
    <dgm:cxn modelId="{214C8547-73DD-4FEA-BB7E-C2081A374EC7}" type="presParOf" srcId="{72078734-1508-4AE1-BBCC-8A9EAB95B0DD}" destId="{3D3B7FFC-0F22-4AA7-9FD1-E954F767BA59}" srcOrd="1" destOrd="0" presId="urn:microsoft.com/office/officeart/2005/8/layout/hierarchy6"/>
    <dgm:cxn modelId="{8FE08BB6-5202-4D5C-87F0-AC5D34584D19}" type="presParOf" srcId="{3D3B7FFC-0F22-4AA7-9FD1-E954F767BA59}" destId="{97119D5F-6EC8-43BB-8F7A-2418A813B44E}" srcOrd="0" destOrd="0" presId="urn:microsoft.com/office/officeart/2005/8/layout/hierarchy6"/>
    <dgm:cxn modelId="{08AAD0B7-6BFB-41C3-8F38-E2488A944179}" type="presParOf" srcId="{3D3B7FFC-0F22-4AA7-9FD1-E954F767BA59}" destId="{3C5F64FE-8ECB-41B8-A582-4EB42995B987}" srcOrd="1" destOrd="0" presId="urn:microsoft.com/office/officeart/2005/8/layout/hierarchy6"/>
    <dgm:cxn modelId="{E3F810A9-0F8F-472E-BA6D-B650498A19CD}" type="presParOf" srcId="{3C5F64FE-8ECB-41B8-A582-4EB42995B987}" destId="{331A47DC-B206-4679-ACB2-361B5C3FA1E0}" srcOrd="0" destOrd="0" presId="urn:microsoft.com/office/officeart/2005/8/layout/hierarchy6"/>
    <dgm:cxn modelId="{2AEE07AF-CAEF-45D1-8E60-56CBDB6E97C3}" type="presParOf" srcId="{3C5F64FE-8ECB-41B8-A582-4EB42995B987}" destId="{48DCE27B-8A02-4CF2-B913-67FB835312A2}" srcOrd="1" destOrd="0" presId="urn:microsoft.com/office/officeart/2005/8/layout/hierarchy6"/>
    <dgm:cxn modelId="{3150CDE1-6F8C-4005-B947-7FC6C49C914F}" type="presParOf" srcId="{3D3B7FFC-0F22-4AA7-9FD1-E954F767BA59}" destId="{4E27A1C4-7418-47C2-A1BF-9E204ECF5500}" srcOrd="2" destOrd="0" presId="urn:microsoft.com/office/officeart/2005/8/layout/hierarchy6"/>
    <dgm:cxn modelId="{60CB7121-5249-4241-AB33-1906ABF15069}" type="presParOf" srcId="{3D3B7FFC-0F22-4AA7-9FD1-E954F767BA59}" destId="{FB6998CE-0836-4B07-B9D6-B8CEAEE6668A}" srcOrd="3" destOrd="0" presId="urn:microsoft.com/office/officeart/2005/8/layout/hierarchy6"/>
    <dgm:cxn modelId="{9F8F2733-26C8-40FD-BF0F-EE82B537AE34}" type="presParOf" srcId="{FB6998CE-0836-4B07-B9D6-B8CEAEE6668A}" destId="{CE228942-3B36-41B0-996B-97AB474A0F3D}" srcOrd="0" destOrd="0" presId="urn:microsoft.com/office/officeart/2005/8/layout/hierarchy6"/>
    <dgm:cxn modelId="{3CAEE6EC-9024-4959-BB18-F6C28D21643B}" type="presParOf" srcId="{FB6998CE-0836-4B07-B9D6-B8CEAEE6668A}" destId="{25AD52C7-C9A9-42CB-BE03-2E2937271051}" srcOrd="1" destOrd="0" presId="urn:microsoft.com/office/officeart/2005/8/layout/hierarchy6"/>
    <dgm:cxn modelId="{A014AD99-62FD-4655-8CDC-173B46AA015C}" type="presParOf" srcId="{8808A133-3EC6-4C15-8978-EEED83784153}" destId="{B0D4027F-0A13-4F65-86A8-513BFEC6D9E6}" srcOrd="2" destOrd="0" presId="urn:microsoft.com/office/officeart/2005/8/layout/hierarchy6"/>
    <dgm:cxn modelId="{84F49D8C-1661-4297-B50F-5E42A281F9EC}" type="presParOf" srcId="{8808A133-3EC6-4C15-8978-EEED83784153}" destId="{EB343D53-15C5-4B5E-9440-0873A1BCF9D0}" srcOrd="3" destOrd="0" presId="urn:microsoft.com/office/officeart/2005/8/layout/hierarchy6"/>
    <dgm:cxn modelId="{514E6D8F-3665-42F8-BF8F-B7601FFDDE77}" type="presParOf" srcId="{EB343D53-15C5-4B5E-9440-0873A1BCF9D0}" destId="{853281FB-A51B-4CDF-A3F3-52D3E7C03807}" srcOrd="0" destOrd="0" presId="urn:microsoft.com/office/officeart/2005/8/layout/hierarchy6"/>
    <dgm:cxn modelId="{259D7AAF-2504-4728-9CC0-35358D672B56}" type="presParOf" srcId="{EB343D53-15C5-4B5E-9440-0873A1BCF9D0}" destId="{1A569A05-40C7-45CC-9321-61669790F0B8}" srcOrd="1" destOrd="0" presId="urn:microsoft.com/office/officeart/2005/8/layout/hierarchy6"/>
    <dgm:cxn modelId="{847E173A-6A13-4B71-BFD7-B01EDFC9DEBB}" type="presParOf" srcId="{1A569A05-40C7-45CC-9321-61669790F0B8}" destId="{58BE5D20-7E67-46CD-A630-E155B1F81D7B}" srcOrd="0" destOrd="0" presId="urn:microsoft.com/office/officeart/2005/8/layout/hierarchy6"/>
    <dgm:cxn modelId="{8692FF5E-8BC0-459B-8CA0-7E6FC14E29E0}" type="presParOf" srcId="{1A569A05-40C7-45CC-9321-61669790F0B8}" destId="{960A3448-A0D8-4DE0-8759-A96871E0EBCD}" srcOrd="1" destOrd="0" presId="urn:microsoft.com/office/officeart/2005/8/layout/hierarchy6"/>
    <dgm:cxn modelId="{2DB59451-1982-437F-AE82-0B42E0093E1F}" type="presParOf" srcId="{960A3448-A0D8-4DE0-8759-A96871E0EBCD}" destId="{41A281AE-8524-4722-BFF4-1C0E7FA3613F}" srcOrd="0" destOrd="0" presId="urn:microsoft.com/office/officeart/2005/8/layout/hierarchy6"/>
    <dgm:cxn modelId="{0F9AA47E-3517-4F7A-BED1-E790D44B73D4}" type="presParOf" srcId="{960A3448-A0D8-4DE0-8759-A96871E0EBCD}" destId="{305C7FFC-ACB3-4752-B1F5-C10E1992D0EA}" srcOrd="1" destOrd="0" presId="urn:microsoft.com/office/officeart/2005/8/layout/hierarchy6"/>
    <dgm:cxn modelId="{1D7D15D3-FABB-4460-BC87-6E84C530D9DE}" type="presParOf" srcId="{1A569A05-40C7-45CC-9321-61669790F0B8}" destId="{4799C365-BA12-46FE-BA74-9F19C9813CC1}" srcOrd="2" destOrd="0" presId="urn:microsoft.com/office/officeart/2005/8/layout/hierarchy6"/>
    <dgm:cxn modelId="{C9A065B3-6F2F-4FC3-8C2E-7B8B452BBED1}" type="presParOf" srcId="{1A569A05-40C7-45CC-9321-61669790F0B8}" destId="{40699503-1FA6-4EA6-9B27-1CBE58C4ADE0}" srcOrd="3" destOrd="0" presId="urn:microsoft.com/office/officeart/2005/8/layout/hierarchy6"/>
    <dgm:cxn modelId="{3389A4C1-E8D7-4F76-B595-D916302B1F82}" type="presParOf" srcId="{40699503-1FA6-4EA6-9B27-1CBE58C4ADE0}" destId="{BC901687-151D-4257-86B5-3EADA3FA9DBF}" srcOrd="0" destOrd="0" presId="urn:microsoft.com/office/officeart/2005/8/layout/hierarchy6"/>
    <dgm:cxn modelId="{5116911E-A3CE-4F00-9F62-B324CF9E8BF8}" type="presParOf" srcId="{40699503-1FA6-4EA6-9B27-1CBE58C4ADE0}" destId="{0C364920-828E-4413-91B3-66D7C05EFF81}" srcOrd="1" destOrd="0" presId="urn:microsoft.com/office/officeart/2005/8/layout/hierarchy6"/>
    <dgm:cxn modelId="{5531CD2A-B245-40CE-8E8A-A3DE93BB975D}" type="presParOf" srcId="{8AF72178-18DF-4D37-8604-D9598817310A}" destId="{BEB12FBA-7328-4DCA-84AB-22DC17F0FC5F}" srcOrd="1" destOrd="0" presId="urn:microsoft.com/office/officeart/2005/8/layout/hierarchy6"/>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426066-57EC-445B-8846-99947C9AF2F5}">
      <dsp:nvSpPr>
        <dsp:cNvPr id="0" name=""/>
        <dsp:cNvSpPr/>
      </dsp:nvSpPr>
      <dsp:spPr>
        <a:xfrm>
          <a:off x="1993173" y="297561"/>
          <a:ext cx="942616" cy="861130"/>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权益净利率</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19.07%</a:t>
          </a:r>
          <a:r>
            <a:rPr lang="zh-CN" altLang="en-US" sz="700" kern="1200">
              <a:solidFill>
                <a:sysClr val="windowText" lastClr="000000"/>
              </a:solidFill>
            </a:rPr>
            <a:t>（</a:t>
          </a:r>
          <a:r>
            <a:rPr lang="en-US" altLang="zh-CN" sz="700" kern="1200">
              <a:solidFill>
                <a:sysClr val="windowText" lastClr="000000"/>
              </a:solidFill>
            </a:rPr>
            <a:t>2012</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17.35%</a:t>
          </a:r>
          <a:r>
            <a:rPr lang="zh-CN" altLang="en-US" sz="700" kern="1200">
              <a:solidFill>
                <a:sysClr val="windowText" lastClr="000000"/>
              </a:solidFill>
            </a:rPr>
            <a:t>（</a:t>
          </a:r>
          <a:r>
            <a:rPr lang="en-US" altLang="zh-CN" sz="700" kern="1200">
              <a:solidFill>
                <a:sysClr val="windowText" lastClr="000000"/>
              </a:solidFill>
            </a:rPr>
            <a:t>2013</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16.64%</a:t>
          </a:r>
          <a:r>
            <a:rPr lang="zh-CN" altLang="en-US" sz="700" kern="1200">
              <a:solidFill>
                <a:sysClr val="windowText" lastClr="000000"/>
              </a:solidFill>
            </a:rPr>
            <a:t>（</a:t>
          </a:r>
          <a:r>
            <a:rPr lang="en-US" altLang="zh-CN" sz="700" kern="1200">
              <a:solidFill>
                <a:sysClr val="windowText" lastClr="000000"/>
              </a:solidFill>
            </a:rPr>
            <a:t>2014</a:t>
          </a:r>
          <a:r>
            <a:rPr lang="zh-CN" altLang="en-US" sz="700" kern="1200">
              <a:solidFill>
                <a:sysClr val="windowText" lastClr="000000"/>
              </a:solidFill>
            </a:rPr>
            <a:t>年）</a:t>
          </a:r>
        </a:p>
      </dsp:txBody>
      <dsp:txXfrm>
        <a:off x="2018395" y="322783"/>
        <a:ext cx="892172" cy="810686"/>
      </dsp:txXfrm>
    </dsp:sp>
    <dsp:sp modelId="{5534D8DE-E738-4BF0-8233-8D6A3797D4BD}">
      <dsp:nvSpPr>
        <dsp:cNvPr id="0" name=""/>
        <dsp:cNvSpPr/>
      </dsp:nvSpPr>
      <dsp:spPr>
        <a:xfrm>
          <a:off x="1084186" y="1158692"/>
          <a:ext cx="1380295" cy="251364"/>
        </a:xfrm>
        <a:custGeom>
          <a:avLst/>
          <a:gdLst/>
          <a:ahLst/>
          <a:cxnLst/>
          <a:rect l="0" t="0" r="0" b="0"/>
          <a:pathLst>
            <a:path>
              <a:moveTo>
                <a:pt x="1380295" y="0"/>
              </a:moveTo>
              <a:lnTo>
                <a:pt x="1380295" y="125682"/>
              </a:lnTo>
              <a:lnTo>
                <a:pt x="0" y="125682"/>
              </a:lnTo>
              <a:lnTo>
                <a:pt x="0" y="251364"/>
              </a:lnTo>
            </a:path>
          </a:pathLst>
        </a:custGeom>
        <a:noFill/>
        <a:ln w="3175"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66AA57F5-D5CF-41EC-A6F2-5C7563E32679}">
      <dsp:nvSpPr>
        <dsp:cNvPr id="0" name=""/>
        <dsp:cNvSpPr/>
      </dsp:nvSpPr>
      <dsp:spPr>
        <a:xfrm>
          <a:off x="612878" y="1410056"/>
          <a:ext cx="942616" cy="861130"/>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总资产净利率</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4.13%</a:t>
          </a:r>
          <a:r>
            <a:rPr lang="zh-CN" altLang="en-US" sz="700" kern="1200">
              <a:solidFill>
                <a:sysClr val="windowText" lastClr="000000"/>
              </a:solidFill>
            </a:rPr>
            <a:t>（</a:t>
          </a:r>
          <a:r>
            <a:rPr lang="en-US" altLang="zh-CN" sz="700" kern="1200">
              <a:solidFill>
                <a:sysClr val="windowText" lastClr="000000"/>
              </a:solidFill>
            </a:rPr>
            <a:t>2012</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3.82%</a:t>
          </a:r>
          <a:r>
            <a:rPr lang="zh-CN" altLang="en-US" sz="700" kern="1200">
              <a:solidFill>
                <a:sysClr val="windowText" lastClr="000000"/>
              </a:solidFill>
            </a:rPr>
            <a:t>（</a:t>
          </a:r>
          <a:r>
            <a:rPr lang="en-US" altLang="zh-CN" sz="700" kern="1200">
              <a:solidFill>
                <a:sysClr val="windowText" lastClr="000000"/>
              </a:solidFill>
            </a:rPr>
            <a:t>2013</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3.79%</a:t>
          </a:r>
          <a:r>
            <a:rPr lang="zh-CN" altLang="en-US" sz="700" kern="1200">
              <a:solidFill>
                <a:sysClr val="windowText" lastClr="000000"/>
              </a:solidFill>
            </a:rPr>
            <a:t>（</a:t>
          </a:r>
          <a:r>
            <a:rPr lang="en-US" altLang="zh-CN" sz="700" kern="1200">
              <a:solidFill>
                <a:sysClr val="windowText" lastClr="000000"/>
              </a:solidFill>
            </a:rPr>
            <a:t>2014</a:t>
          </a:r>
          <a:r>
            <a:rPr lang="zh-CN" altLang="en-US" sz="700" kern="1200">
              <a:solidFill>
                <a:sysClr val="windowText" lastClr="000000"/>
              </a:solidFill>
            </a:rPr>
            <a:t>年）</a:t>
          </a:r>
        </a:p>
      </dsp:txBody>
      <dsp:txXfrm>
        <a:off x="638100" y="1435278"/>
        <a:ext cx="892172" cy="810686"/>
      </dsp:txXfrm>
    </dsp:sp>
    <dsp:sp modelId="{97119D5F-6EC8-43BB-8F7A-2418A813B44E}">
      <dsp:nvSpPr>
        <dsp:cNvPr id="0" name=""/>
        <dsp:cNvSpPr/>
      </dsp:nvSpPr>
      <dsp:spPr>
        <a:xfrm>
          <a:off x="471485" y="2271187"/>
          <a:ext cx="612700" cy="251364"/>
        </a:xfrm>
        <a:custGeom>
          <a:avLst/>
          <a:gdLst/>
          <a:ahLst/>
          <a:cxnLst/>
          <a:rect l="0" t="0" r="0" b="0"/>
          <a:pathLst>
            <a:path>
              <a:moveTo>
                <a:pt x="612700" y="0"/>
              </a:moveTo>
              <a:lnTo>
                <a:pt x="612700" y="125682"/>
              </a:lnTo>
              <a:lnTo>
                <a:pt x="0" y="125682"/>
              </a:lnTo>
              <a:lnTo>
                <a:pt x="0" y="251364"/>
              </a:lnTo>
            </a:path>
          </a:pathLst>
        </a:custGeom>
        <a:noFill/>
        <a:ln w="3175"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331A47DC-B206-4679-ACB2-361B5C3FA1E0}">
      <dsp:nvSpPr>
        <dsp:cNvPr id="0" name=""/>
        <dsp:cNvSpPr/>
      </dsp:nvSpPr>
      <dsp:spPr>
        <a:xfrm>
          <a:off x="177" y="2522551"/>
          <a:ext cx="942616" cy="861130"/>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销售净利率</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15.19%</a:t>
          </a:r>
          <a:r>
            <a:rPr lang="zh-CN" altLang="en-US" sz="700" kern="1200">
              <a:solidFill>
                <a:sysClr val="windowText" lastClr="000000"/>
              </a:solidFill>
            </a:rPr>
            <a:t>（</a:t>
          </a:r>
          <a:r>
            <a:rPr lang="en-US" altLang="zh-CN" sz="700" kern="1200">
              <a:solidFill>
                <a:sysClr val="windowText" lastClr="000000"/>
              </a:solidFill>
            </a:rPr>
            <a:t>2012</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13.51%%</a:t>
          </a:r>
          <a:r>
            <a:rPr lang="zh-CN" altLang="en-US" sz="700" kern="1200">
              <a:solidFill>
                <a:sysClr val="windowText" lastClr="000000"/>
              </a:solidFill>
            </a:rPr>
            <a:t>（</a:t>
          </a:r>
          <a:r>
            <a:rPr lang="en-US" altLang="zh-CN" sz="700" kern="1200">
              <a:solidFill>
                <a:sysClr val="windowText" lastClr="000000"/>
              </a:solidFill>
            </a:rPr>
            <a:t>2013</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13.18%</a:t>
          </a:r>
          <a:r>
            <a:rPr lang="zh-CN" altLang="en-US" sz="700" kern="1200">
              <a:solidFill>
                <a:sysClr val="windowText" lastClr="000000"/>
              </a:solidFill>
            </a:rPr>
            <a:t>（</a:t>
          </a:r>
          <a:r>
            <a:rPr lang="en-US" altLang="zh-CN" sz="700" kern="1200">
              <a:solidFill>
                <a:sysClr val="windowText" lastClr="000000"/>
              </a:solidFill>
            </a:rPr>
            <a:t>2014</a:t>
          </a:r>
          <a:r>
            <a:rPr lang="zh-CN" altLang="en-US" sz="700" kern="1200">
              <a:solidFill>
                <a:sysClr val="windowText" lastClr="000000"/>
              </a:solidFill>
            </a:rPr>
            <a:t>年）</a:t>
          </a:r>
        </a:p>
      </dsp:txBody>
      <dsp:txXfrm>
        <a:off x="25399" y="2547773"/>
        <a:ext cx="892172" cy="810686"/>
      </dsp:txXfrm>
    </dsp:sp>
    <dsp:sp modelId="{4E27A1C4-7418-47C2-A1BF-9E204ECF5500}">
      <dsp:nvSpPr>
        <dsp:cNvPr id="0" name=""/>
        <dsp:cNvSpPr/>
      </dsp:nvSpPr>
      <dsp:spPr>
        <a:xfrm>
          <a:off x="1084186" y="2271187"/>
          <a:ext cx="612700" cy="251364"/>
        </a:xfrm>
        <a:custGeom>
          <a:avLst/>
          <a:gdLst/>
          <a:ahLst/>
          <a:cxnLst/>
          <a:rect l="0" t="0" r="0" b="0"/>
          <a:pathLst>
            <a:path>
              <a:moveTo>
                <a:pt x="0" y="0"/>
              </a:moveTo>
              <a:lnTo>
                <a:pt x="0" y="125682"/>
              </a:lnTo>
              <a:lnTo>
                <a:pt x="612700" y="125682"/>
              </a:lnTo>
              <a:lnTo>
                <a:pt x="612700" y="251364"/>
              </a:lnTo>
            </a:path>
          </a:pathLst>
        </a:custGeom>
        <a:noFill/>
        <a:ln w="3175"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CE228942-3B36-41B0-996B-97AB474A0F3D}">
      <dsp:nvSpPr>
        <dsp:cNvPr id="0" name=""/>
        <dsp:cNvSpPr/>
      </dsp:nvSpPr>
      <dsp:spPr>
        <a:xfrm>
          <a:off x="1225579" y="2522551"/>
          <a:ext cx="942616" cy="861130"/>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资产周转率</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27.22%</a:t>
          </a:r>
          <a:r>
            <a:rPr lang="zh-CN" altLang="en-US" sz="700" kern="1200">
              <a:solidFill>
                <a:sysClr val="windowText" lastClr="000000"/>
              </a:solidFill>
            </a:rPr>
            <a:t>（</a:t>
          </a:r>
          <a:r>
            <a:rPr lang="en-US" altLang="zh-CN" sz="700" kern="1200">
              <a:solidFill>
                <a:sysClr val="windowText" lastClr="000000"/>
              </a:solidFill>
            </a:rPr>
            <a:t>2012</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28.26%</a:t>
          </a:r>
          <a:r>
            <a:rPr lang="zh-CN" altLang="en-US" sz="700" kern="1200">
              <a:solidFill>
                <a:sysClr val="windowText" lastClr="000000"/>
              </a:solidFill>
            </a:rPr>
            <a:t>（</a:t>
          </a:r>
          <a:r>
            <a:rPr lang="en-US" altLang="zh-CN" sz="700" kern="1200">
              <a:solidFill>
                <a:sysClr val="windowText" lastClr="000000"/>
              </a:solidFill>
            </a:rPr>
            <a:t>2013</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28.79</a:t>
          </a:r>
          <a:r>
            <a:rPr lang="zh-CN" altLang="en-US" sz="700" kern="1200">
              <a:solidFill>
                <a:sysClr val="windowText" lastClr="000000"/>
              </a:solidFill>
            </a:rPr>
            <a:t>（</a:t>
          </a:r>
          <a:r>
            <a:rPr lang="en-US" altLang="zh-CN" sz="700" kern="1200">
              <a:solidFill>
                <a:sysClr val="windowText" lastClr="000000"/>
              </a:solidFill>
            </a:rPr>
            <a:t>2014</a:t>
          </a:r>
          <a:r>
            <a:rPr lang="zh-CN" altLang="en-US" sz="700" kern="1200">
              <a:solidFill>
                <a:sysClr val="windowText" lastClr="000000"/>
              </a:solidFill>
            </a:rPr>
            <a:t>年）</a:t>
          </a:r>
        </a:p>
      </dsp:txBody>
      <dsp:txXfrm>
        <a:off x="1250801" y="2547773"/>
        <a:ext cx="892172" cy="810686"/>
      </dsp:txXfrm>
    </dsp:sp>
    <dsp:sp modelId="{B0D4027F-0A13-4F65-86A8-513BFEC6D9E6}">
      <dsp:nvSpPr>
        <dsp:cNvPr id="0" name=""/>
        <dsp:cNvSpPr/>
      </dsp:nvSpPr>
      <dsp:spPr>
        <a:xfrm>
          <a:off x="2464481" y="1158692"/>
          <a:ext cx="1380295" cy="251364"/>
        </a:xfrm>
        <a:custGeom>
          <a:avLst/>
          <a:gdLst/>
          <a:ahLst/>
          <a:cxnLst/>
          <a:rect l="0" t="0" r="0" b="0"/>
          <a:pathLst>
            <a:path>
              <a:moveTo>
                <a:pt x="0" y="0"/>
              </a:moveTo>
              <a:lnTo>
                <a:pt x="0" y="125682"/>
              </a:lnTo>
              <a:lnTo>
                <a:pt x="1380295" y="125682"/>
              </a:lnTo>
              <a:lnTo>
                <a:pt x="1380295" y="251364"/>
              </a:lnTo>
            </a:path>
          </a:pathLst>
        </a:custGeom>
        <a:noFill/>
        <a:ln w="3175"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853281FB-A51B-4CDF-A3F3-52D3E7C03807}">
      <dsp:nvSpPr>
        <dsp:cNvPr id="0" name=""/>
        <dsp:cNvSpPr/>
      </dsp:nvSpPr>
      <dsp:spPr>
        <a:xfrm>
          <a:off x="3373468" y="1410056"/>
          <a:ext cx="942616" cy="861130"/>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权益乘数</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4.61</a:t>
          </a:r>
          <a:r>
            <a:rPr lang="zh-CN" altLang="en-US" sz="700" kern="1200">
              <a:solidFill>
                <a:sysClr val="windowText" lastClr="000000"/>
              </a:solidFill>
            </a:rPr>
            <a:t>（</a:t>
          </a:r>
          <a:r>
            <a:rPr lang="en-US" altLang="zh-CN" sz="700" kern="1200">
              <a:solidFill>
                <a:sysClr val="windowText" lastClr="000000"/>
              </a:solidFill>
            </a:rPr>
            <a:t>2012</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4.54</a:t>
          </a:r>
          <a:r>
            <a:rPr lang="zh-CN" altLang="en-US" sz="700" kern="1200">
              <a:solidFill>
                <a:sysClr val="windowText" lastClr="000000"/>
              </a:solidFill>
            </a:rPr>
            <a:t>（</a:t>
          </a:r>
          <a:r>
            <a:rPr lang="en-US" altLang="zh-CN" sz="700" kern="1200">
              <a:solidFill>
                <a:sysClr val="windowText" lastClr="000000"/>
              </a:solidFill>
            </a:rPr>
            <a:t>2013</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4.39</a:t>
          </a:r>
          <a:r>
            <a:rPr lang="zh-CN" altLang="en-US" sz="700" kern="1200">
              <a:solidFill>
                <a:sysClr val="windowText" lastClr="000000"/>
              </a:solidFill>
            </a:rPr>
            <a:t>（</a:t>
          </a:r>
          <a:r>
            <a:rPr lang="en-US" altLang="zh-CN" sz="700" kern="1200">
              <a:solidFill>
                <a:sysClr val="windowText" lastClr="000000"/>
              </a:solidFill>
            </a:rPr>
            <a:t>2014</a:t>
          </a:r>
          <a:r>
            <a:rPr lang="zh-CN" altLang="en-US" sz="700" kern="1200">
              <a:solidFill>
                <a:sysClr val="windowText" lastClr="000000"/>
              </a:solidFill>
            </a:rPr>
            <a:t>年）</a:t>
          </a:r>
        </a:p>
      </dsp:txBody>
      <dsp:txXfrm>
        <a:off x="3398690" y="1435278"/>
        <a:ext cx="892172" cy="810686"/>
      </dsp:txXfrm>
    </dsp:sp>
    <dsp:sp modelId="{58BE5D20-7E67-46CD-A630-E155B1F81D7B}">
      <dsp:nvSpPr>
        <dsp:cNvPr id="0" name=""/>
        <dsp:cNvSpPr/>
      </dsp:nvSpPr>
      <dsp:spPr>
        <a:xfrm>
          <a:off x="3055448" y="2271187"/>
          <a:ext cx="789328" cy="251364"/>
        </a:xfrm>
        <a:custGeom>
          <a:avLst/>
          <a:gdLst/>
          <a:ahLst/>
          <a:cxnLst/>
          <a:rect l="0" t="0" r="0" b="0"/>
          <a:pathLst>
            <a:path>
              <a:moveTo>
                <a:pt x="789328" y="0"/>
              </a:moveTo>
              <a:lnTo>
                <a:pt x="789328" y="125682"/>
              </a:lnTo>
              <a:lnTo>
                <a:pt x="0" y="125682"/>
              </a:lnTo>
              <a:lnTo>
                <a:pt x="0" y="251364"/>
              </a:lnTo>
            </a:path>
          </a:pathLst>
        </a:custGeom>
        <a:noFill/>
        <a:ln w="3175"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41A281AE-8524-4722-BFF4-1C0E7FA3613F}">
      <dsp:nvSpPr>
        <dsp:cNvPr id="0" name=""/>
        <dsp:cNvSpPr/>
      </dsp:nvSpPr>
      <dsp:spPr>
        <a:xfrm>
          <a:off x="2450981" y="2522551"/>
          <a:ext cx="1208934" cy="935905"/>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资产</a:t>
          </a:r>
          <a:endParaRPr lang="en-US" altLang="zh-CN" sz="700" kern="1200">
            <a:solidFill>
              <a:sysClr val="windowText" lastClr="000000"/>
            </a:solidFill>
          </a:endParaRPr>
        </a:p>
        <a:p>
          <a:pPr lvl="0" algn="ctr" defTabSz="311150">
            <a:lnSpc>
              <a:spcPct val="90000"/>
            </a:lnSpc>
            <a:spcBef>
              <a:spcPct val="0"/>
            </a:spcBef>
            <a:spcAft>
              <a:spcPct val="35000"/>
            </a:spcAft>
          </a:pPr>
          <a:r>
            <a:rPr lang="en-US" sz="700" b="0" i="0" u="none" kern="1200">
              <a:solidFill>
                <a:sysClr val="windowText" lastClr="000000"/>
              </a:solidFill>
            </a:rPr>
            <a:t>518,357,290,110</a:t>
          </a:r>
          <a:r>
            <a:rPr lang="zh-CN" altLang="en-US" sz="700" b="0" i="0" u="none" kern="1200">
              <a:solidFill>
                <a:sysClr val="windowText" lastClr="000000"/>
              </a:solidFill>
            </a:rPr>
            <a:t>（</a:t>
          </a:r>
          <a:r>
            <a:rPr lang="en-US" altLang="zh-CN" sz="700" b="0" i="0" u="none" kern="1200">
              <a:solidFill>
                <a:sysClr val="windowText" lastClr="000000"/>
              </a:solidFill>
            </a:rPr>
            <a:t>2012</a:t>
          </a:r>
          <a:r>
            <a:rPr lang="zh-CN" altLang="en-US" sz="700" b="0" i="0" u="none" kern="1200">
              <a:solidFill>
                <a:sysClr val="windowText" lastClr="000000"/>
              </a:solidFill>
            </a:rPr>
            <a:t>年）</a:t>
          </a:r>
          <a:endParaRPr lang="en-US" altLang="zh-CN" sz="700" b="0" i="0" u="none" kern="1200">
            <a:solidFill>
              <a:sysClr val="windowText" lastClr="000000"/>
            </a:solidFill>
          </a:endParaRPr>
        </a:p>
        <a:p>
          <a:pPr lvl="0" algn="ctr" defTabSz="311150">
            <a:lnSpc>
              <a:spcPct val="90000"/>
            </a:lnSpc>
            <a:spcBef>
              <a:spcPct val="0"/>
            </a:spcBef>
            <a:spcAft>
              <a:spcPct val="35000"/>
            </a:spcAft>
          </a:pPr>
          <a:r>
            <a:rPr lang="en-US" altLang="zh-CN" sz="700" b="0" i="0" u="none" kern="1200">
              <a:solidFill>
                <a:sysClr val="windowText" lastClr="000000"/>
              </a:solidFill>
            </a:rPr>
            <a:t>479,205,323,490.54</a:t>
          </a:r>
          <a:r>
            <a:rPr lang="zh-CN" altLang="en-US" sz="700" kern="1200">
              <a:solidFill>
                <a:sysClr val="windowText" lastClr="000000"/>
              </a:solidFill>
            </a:rPr>
            <a:t>（</a:t>
          </a:r>
          <a:r>
            <a:rPr lang="en-US" altLang="zh-CN" sz="700" kern="1200">
              <a:solidFill>
                <a:sysClr val="windowText" lastClr="000000"/>
              </a:solidFill>
            </a:rPr>
            <a:t>2013</a:t>
          </a:r>
          <a:r>
            <a:rPr lang="zh-CN" altLang="en-US" sz="700" kern="1200">
              <a:solidFill>
                <a:sysClr val="windowText" lastClr="000000"/>
              </a:solidFill>
            </a:rPr>
            <a:t>年）</a:t>
          </a:r>
          <a:endParaRPr lang="en-US" altLang="zh-CN" sz="700" kern="1200">
            <a:solidFill>
              <a:sysClr val="windowText" lastClr="000000"/>
            </a:solidFill>
          </a:endParaRPr>
        </a:p>
        <a:p>
          <a:pPr lvl="0" algn="ctr" defTabSz="311150">
            <a:lnSpc>
              <a:spcPct val="90000"/>
            </a:lnSpc>
            <a:spcBef>
              <a:spcPct val="0"/>
            </a:spcBef>
            <a:spcAft>
              <a:spcPct val="35000"/>
            </a:spcAft>
          </a:pPr>
          <a:r>
            <a:rPr lang="en-US" altLang="zh-CN" sz="700" kern="1200">
              <a:solidFill>
                <a:sysClr val="windowText" lastClr="000000"/>
              </a:solidFill>
            </a:rPr>
            <a:t>508,408,755,415.65</a:t>
          </a:r>
          <a:r>
            <a:rPr lang="zh-CN" altLang="en-US" sz="700" kern="1200">
              <a:solidFill>
                <a:sysClr val="windowText" lastClr="000000"/>
              </a:solidFill>
            </a:rPr>
            <a:t>（</a:t>
          </a:r>
          <a:r>
            <a:rPr lang="en-US" altLang="zh-CN" sz="700" kern="1200">
              <a:solidFill>
                <a:sysClr val="windowText" lastClr="000000"/>
              </a:solidFill>
            </a:rPr>
            <a:t>2014</a:t>
          </a:r>
          <a:r>
            <a:rPr lang="zh-CN" altLang="en-US" sz="700" kern="1200">
              <a:solidFill>
                <a:sysClr val="windowText" lastClr="000000"/>
              </a:solidFill>
            </a:rPr>
            <a:t>年）</a:t>
          </a:r>
          <a:endParaRPr lang="en-US" sz="700" kern="1200">
            <a:solidFill>
              <a:sysClr val="windowText" lastClr="000000"/>
            </a:solidFill>
          </a:endParaRPr>
        </a:p>
        <a:p>
          <a:pPr lvl="0" algn="ctr" defTabSz="311150">
            <a:lnSpc>
              <a:spcPct val="90000"/>
            </a:lnSpc>
            <a:spcBef>
              <a:spcPct val="0"/>
            </a:spcBef>
            <a:spcAft>
              <a:spcPct val="35000"/>
            </a:spcAft>
          </a:pPr>
          <a:endParaRPr lang="zh-CN" altLang="en-US" sz="700" kern="1200">
            <a:solidFill>
              <a:sysClr val="windowText" lastClr="000000"/>
            </a:solidFill>
          </a:endParaRPr>
        </a:p>
      </dsp:txBody>
      <dsp:txXfrm>
        <a:off x="2478393" y="2549963"/>
        <a:ext cx="1154110" cy="881081"/>
      </dsp:txXfrm>
    </dsp:sp>
    <dsp:sp modelId="{4799C365-BA12-46FE-BA74-9F19C9813CC1}">
      <dsp:nvSpPr>
        <dsp:cNvPr id="0" name=""/>
        <dsp:cNvSpPr/>
      </dsp:nvSpPr>
      <dsp:spPr>
        <a:xfrm>
          <a:off x="3844776" y="2271187"/>
          <a:ext cx="745859" cy="251364"/>
        </a:xfrm>
        <a:custGeom>
          <a:avLst/>
          <a:gdLst/>
          <a:ahLst/>
          <a:cxnLst/>
          <a:rect l="0" t="0" r="0" b="0"/>
          <a:pathLst>
            <a:path>
              <a:moveTo>
                <a:pt x="0" y="0"/>
              </a:moveTo>
              <a:lnTo>
                <a:pt x="0" y="125682"/>
              </a:lnTo>
              <a:lnTo>
                <a:pt x="745859" y="125682"/>
              </a:lnTo>
              <a:lnTo>
                <a:pt x="745859" y="251364"/>
              </a:lnTo>
            </a:path>
          </a:pathLst>
        </a:custGeom>
        <a:noFill/>
        <a:ln w="3175"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BC901687-151D-4257-86B5-3EADA3FA9DBF}">
      <dsp:nvSpPr>
        <dsp:cNvPr id="0" name=""/>
        <dsp:cNvSpPr/>
      </dsp:nvSpPr>
      <dsp:spPr>
        <a:xfrm>
          <a:off x="3942700" y="2522551"/>
          <a:ext cx="1295871" cy="935911"/>
        </a:xfrm>
        <a:prstGeom prst="roundRect">
          <a:avLst>
            <a:gd name="adj" fmla="val 10000"/>
          </a:avLst>
        </a:prstGeom>
        <a:solidFill>
          <a:schemeClr val="bg1"/>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zh-CN" altLang="en-US" sz="700" kern="1200">
              <a:solidFill>
                <a:sysClr val="windowText" lastClr="000000"/>
              </a:solidFill>
            </a:rPr>
            <a:t>负债</a:t>
          </a:r>
          <a:endParaRPr lang="en-US" altLang="zh-CN" sz="700" kern="1200">
            <a:solidFill>
              <a:sysClr val="windowText" lastClr="000000"/>
            </a:solidFill>
          </a:endParaRPr>
        </a:p>
        <a:p>
          <a:pPr lvl="0" algn="ctr" defTabSz="311150">
            <a:lnSpc>
              <a:spcPct val="90000"/>
            </a:lnSpc>
            <a:spcBef>
              <a:spcPct val="0"/>
            </a:spcBef>
            <a:spcAft>
              <a:spcPct val="35000"/>
            </a:spcAft>
          </a:pPr>
          <a:r>
            <a:rPr lang="en-US" sz="700" b="0" i="0" u="none" kern="1200">
              <a:solidFill>
                <a:sysClr val="windowText" lastClr="000000"/>
              </a:solidFill>
            </a:rPr>
            <a:t>306,122,976,845</a:t>
          </a:r>
          <a:r>
            <a:rPr lang="zh-CN" altLang="en-US" sz="700" b="0" i="0" u="none" kern="1200">
              <a:solidFill>
                <a:sysClr val="windowText" lastClr="000000"/>
              </a:solidFill>
            </a:rPr>
            <a:t>（</a:t>
          </a:r>
          <a:r>
            <a:rPr lang="en-US" altLang="zh-CN" sz="700" b="0" i="0" u="none" kern="1200">
              <a:solidFill>
                <a:sysClr val="windowText" lastClr="000000"/>
              </a:solidFill>
            </a:rPr>
            <a:t>2012</a:t>
          </a:r>
          <a:r>
            <a:rPr lang="zh-CN" altLang="en-US" sz="700" b="0" i="0" u="none" kern="1200">
              <a:solidFill>
                <a:sysClr val="windowText" lastClr="000000"/>
              </a:solidFill>
            </a:rPr>
            <a:t>年）</a:t>
          </a:r>
          <a:endParaRPr lang="en-US" altLang="zh-CN" sz="700" b="0" i="0" u="none" kern="1200">
            <a:solidFill>
              <a:sysClr val="windowText" lastClr="000000"/>
            </a:solidFill>
          </a:endParaRPr>
        </a:p>
        <a:p>
          <a:pPr lvl="0" algn="ctr" defTabSz="311150">
            <a:lnSpc>
              <a:spcPct val="90000"/>
            </a:lnSpc>
            <a:spcBef>
              <a:spcPct val="0"/>
            </a:spcBef>
            <a:spcAft>
              <a:spcPct val="35000"/>
            </a:spcAft>
          </a:pPr>
          <a:r>
            <a:rPr lang="en-US" altLang="zh-CN" sz="700" b="0" i="0" u="none" kern="1200">
              <a:solidFill>
                <a:sysClr val="windowText" lastClr="000000"/>
              </a:solidFill>
            </a:rPr>
            <a:t>373,765,900,091.91</a:t>
          </a:r>
          <a:r>
            <a:rPr lang="zh-CN" altLang="en-US" sz="700" b="0" i="0" u="none" kern="1200">
              <a:solidFill>
                <a:sysClr val="windowText" lastClr="000000"/>
              </a:solidFill>
            </a:rPr>
            <a:t>（</a:t>
          </a:r>
          <a:r>
            <a:rPr lang="en-US" altLang="zh-CN" sz="700" b="0" i="0" u="none" kern="1200">
              <a:solidFill>
                <a:sysClr val="windowText" lastClr="000000"/>
              </a:solidFill>
            </a:rPr>
            <a:t>2013</a:t>
          </a:r>
          <a:r>
            <a:rPr lang="zh-CN" altLang="en-US" sz="700" b="0" i="0" u="none" kern="1200">
              <a:solidFill>
                <a:sysClr val="windowText" lastClr="000000"/>
              </a:solidFill>
            </a:rPr>
            <a:t>年）</a:t>
          </a:r>
          <a:endParaRPr lang="en-US" altLang="zh-CN" sz="700" b="0" i="0" u="none" kern="1200">
            <a:solidFill>
              <a:sysClr val="windowText" lastClr="000000"/>
            </a:solidFill>
          </a:endParaRPr>
        </a:p>
        <a:p>
          <a:pPr lvl="0" algn="ctr" defTabSz="311150">
            <a:lnSpc>
              <a:spcPct val="90000"/>
            </a:lnSpc>
            <a:spcBef>
              <a:spcPct val="0"/>
            </a:spcBef>
            <a:spcAft>
              <a:spcPct val="35000"/>
            </a:spcAft>
          </a:pPr>
          <a:r>
            <a:rPr lang="en-US" altLang="zh-CN" sz="700" b="0" i="0" u="none" kern="1200">
              <a:solidFill>
                <a:sysClr val="windowText" lastClr="000000"/>
              </a:solidFill>
            </a:rPr>
            <a:t>392,515,138,495.68</a:t>
          </a:r>
          <a:r>
            <a:rPr lang="en-US" altLang="zh-CN" sz="700" kern="1200">
              <a:solidFill>
                <a:sysClr val="windowText" lastClr="000000"/>
              </a:solidFill>
            </a:rPr>
            <a:t>2014</a:t>
          </a:r>
          <a:r>
            <a:rPr lang="zh-CN" altLang="en-US" sz="700" kern="1200">
              <a:solidFill>
                <a:sysClr val="windowText" lastClr="000000"/>
              </a:solidFill>
            </a:rPr>
            <a:t>年）</a:t>
          </a:r>
        </a:p>
      </dsp:txBody>
      <dsp:txXfrm>
        <a:off x="3970112" y="2549963"/>
        <a:ext cx="1241047" cy="88108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dc:creator>
  <cp:lastModifiedBy>jj</cp:lastModifiedBy>
  <cp:revision>2</cp:revision>
  <dcterms:created xsi:type="dcterms:W3CDTF">2015-12-30T10:54:00Z</dcterms:created>
  <dcterms:modified xsi:type="dcterms:W3CDTF">2015-12-31T02:55:00Z</dcterms:modified>
</cp:coreProperties>
</file>